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E9" w:rsidRPr="00973634" w:rsidRDefault="00A364E9" w:rsidP="00A364E9">
      <w:pPr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134544" w:rsidRPr="00973634" w:rsidTr="006C0EDB">
        <w:tc>
          <w:tcPr>
            <w:tcW w:w="10349" w:type="dxa"/>
          </w:tcPr>
          <w:p w:rsidR="00134544" w:rsidRPr="00973634" w:rsidRDefault="00134544" w:rsidP="00000362">
            <w:pPr>
              <w:jc w:val="both"/>
              <w:rPr>
                <w:b/>
                <w:szCs w:val="22"/>
              </w:rPr>
            </w:pPr>
            <w:r w:rsidRPr="00973634">
              <w:rPr>
                <w:b/>
                <w:szCs w:val="22"/>
              </w:rPr>
              <w:t>Цель: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4"/>
              </w:numPr>
              <w:tabs>
                <w:tab w:val="left" w:pos="1169"/>
              </w:tabs>
              <w:spacing w:line="276" w:lineRule="auto"/>
              <w:ind w:left="885" w:firstLine="15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>Стандартизация процесса перевода между клиническими и параклиническими отделениями;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4"/>
              </w:numPr>
              <w:tabs>
                <w:tab w:val="left" w:pos="1169"/>
              </w:tabs>
              <w:spacing w:line="276" w:lineRule="auto"/>
              <w:ind w:left="885" w:firstLine="15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Осуществление преемственности во время временной передачи пациента (например: на операцию, процедуру);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4"/>
              </w:numPr>
              <w:tabs>
                <w:tab w:val="left" w:pos="1169"/>
              </w:tabs>
              <w:spacing w:line="276" w:lineRule="auto"/>
              <w:ind w:left="885" w:firstLine="15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Перевод в/из отделений, оказывающих специализированные интенсивные услуги (далее – </w:t>
            </w:r>
            <w:r w:rsidRPr="00973634">
              <w:rPr>
                <w:i/>
                <w:iCs/>
                <w:sz w:val="22"/>
                <w:szCs w:val="22"/>
              </w:rPr>
              <w:t>отд. реанимации</w:t>
            </w:r>
            <w:r w:rsidRPr="00973634">
              <w:rPr>
                <w:sz w:val="22"/>
                <w:szCs w:val="22"/>
              </w:rPr>
              <w:t xml:space="preserve">); </w:t>
            </w:r>
          </w:p>
          <w:p w:rsidR="005D2B82" w:rsidRPr="00973634" w:rsidRDefault="00973634" w:rsidP="00973634">
            <w:pPr>
              <w:pStyle w:val="Default"/>
              <w:numPr>
                <w:ilvl w:val="0"/>
                <w:numId w:val="34"/>
              </w:numPr>
              <w:tabs>
                <w:tab w:val="left" w:pos="1169"/>
              </w:tabs>
              <w:spacing w:line="276" w:lineRule="auto"/>
              <w:ind w:left="885" w:firstLine="15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Перевод пациента в другое профильное отделение на основании переводного эпикриза. </w:t>
            </w:r>
          </w:p>
        </w:tc>
      </w:tr>
    </w:tbl>
    <w:p w:rsidR="0005223F" w:rsidRPr="00973634" w:rsidRDefault="0005223F" w:rsidP="00A364E9">
      <w:pPr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9640"/>
      </w:tblGrid>
      <w:tr w:rsidR="00B50C4E" w:rsidRPr="00973634" w:rsidTr="000E18D0">
        <w:tc>
          <w:tcPr>
            <w:tcW w:w="709" w:type="dxa"/>
            <w:shd w:val="clear" w:color="auto" w:fill="92D050"/>
          </w:tcPr>
          <w:p w:rsidR="00B50C4E" w:rsidRPr="00973634" w:rsidRDefault="00B50C4E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2"/>
              </w:rPr>
            </w:pPr>
            <w:r w:rsidRPr="00973634">
              <w:rPr>
                <w:szCs w:val="22"/>
              </w:rPr>
              <w:br w:type="page"/>
            </w:r>
            <w:r w:rsidRPr="00973634">
              <w:rPr>
                <w:b/>
                <w:szCs w:val="22"/>
              </w:rPr>
              <w:t>№</w:t>
            </w:r>
          </w:p>
        </w:tc>
        <w:tc>
          <w:tcPr>
            <w:tcW w:w="9640" w:type="dxa"/>
            <w:shd w:val="clear" w:color="auto" w:fill="92D050"/>
          </w:tcPr>
          <w:p w:rsidR="00B50C4E" w:rsidRPr="00973634" w:rsidRDefault="00B50C4E" w:rsidP="008A782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b/>
                <w:szCs w:val="22"/>
              </w:rPr>
            </w:pPr>
            <w:r w:rsidRPr="00973634">
              <w:rPr>
                <w:b/>
                <w:szCs w:val="22"/>
              </w:rPr>
              <w:t>Положения</w:t>
            </w:r>
          </w:p>
        </w:tc>
      </w:tr>
      <w:tr w:rsidR="00B50C4E" w:rsidRPr="00973634" w:rsidTr="000E18D0">
        <w:tc>
          <w:tcPr>
            <w:tcW w:w="709" w:type="dxa"/>
          </w:tcPr>
          <w:p w:rsidR="00B50C4E" w:rsidRPr="00973634" w:rsidRDefault="00B50C4E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640" w:type="dxa"/>
          </w:tcPr>
          <w:p w:rsidR="00B50C4E" w:rsidRPr="00973634" w:rsidRDefault="00973634" w:rsidP="00973634">
            <w:pPr>
              <w:pStyle w:val="Default"/>
              <w:tabs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sz w:val="22"/>
                <w:szCs w:val="22"/>
              </w:rPr>
              <w:t>Область применения:</w:t>
            </w:r>
            <w:r w:rsidRPr="00973634">
              <w:rPr>
                <w:sz w:val="22"/>
                <w:szCs w:val="22"/>
              </w:rPr>
              <w:t xml:space="preserve"> клинические и параклинические отделения </w:t>
            </w:r>
          </w:p>
        </w:tc>
      </w:tr>
      <w:tr w:rsidR="00B50C4E" w:rsidRPr="00973634" w:rsidTr="000E18D0">
        <w:tc>
          <w:tcPr>
            <w:tcW w:w="709" w:type="dxa"/>
          </w:tcPr>
          <w:p w:rsidR="00B50C4E" w:rsidRPr="00973634" w:rsidRDefault="00B50C4E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640" w:type="dxa"/>
          </w:tcPr>
          <w:p w:rsidR="00B50C4E" w:rsidRPr="00973634" w:rsidRDefault="00973634" w:rsidP="00973634">
            <w:pPr>
              <w:pStyle w:val="Default"/>
              <w:tabs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sz w:val="22"/>
                <w:szCs w:val="22"/>
              </w:rPr>
              <w:t>Ответственность:</w:t>
            </w:r>
            <w:r w:rsidRPr="00973634">
              <w:rPr>
                <w:sz w:val="22"/>
                <w:szCs w:val="22"/>
              </w:rPr>
              <w:t xml:space="preserve"> врачи и средний медицинский персонал</w:t>
            </w:r>
          </w:p>
        </w:tc>
      </w:tr>
      <w:tr w:rsidR="00B50C4E" w:rsidRPr="00973634" w:rsidTr="000E18D0">
        <w:trPr>
          <w:trHeight w:val="313"/>
        </w:trPr>
        <w:tc>
          <w:tcPr>
            <w:tcW w:w="709" w:type="dxa"/>
          </w:tcPr>
          <w:p w:rsidR="00B50C4E" w:rsidRPr="00973634" w:rsidRDefault="00B50C4E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640" w:type="dxa"/>
            <w:vAlign w:val="center"/>
          </w:tcPr>
          <w:p w:rsidR="00973634" w:rsidRPr="00973634" w:rsidRDefault="00973634" w:rsidP="00973634">
            <w:pPr>
              <w:tabs>
                <w:tab w:val="left" w:pos="1027"/>
              </w:tabs>
              <w:overflowPunct/>
              <w:spacing w:line="276" w:lineRule="auto"/>
              <w:ind w:left="460"/>
              <w:jc w:val="both"/>
              <w:textAlignment w:val="auto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Определения: </w:t>
            </w:r>
          </w:p>
          <w:p w:rsidR="00973634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Временная передача пациента </w:t>
            </w:r>
            <w:r w:rsidRPr="00973634">
              <w:rPr>
                <w:color w:val="000000"/>
                <w:szCs w:val="22"/>
              </w:rPr>
              <w:t xml:space="preserve">– временное отведение пациента из одного отделения в другое для проведения процедуры (например, для посещения физиотерапевтических процедур, диагностических исследований). </w:t>
            </w:r>
          </w:p>
          <w:p w:rsidR="00973634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Лечащий врач – </w:t>
            </w:r>
            <w:r w:rsidRPr="00973634">
              <w:rPr>
                <w:color w:val="000000"/>
                <w:szCs w:val="22"/>
              </w:rPr>
              <w:t xml:space="preserve">квалифицированное лицо, несущее общую ответственность за координацию лечения пациента или за определенный этап его лечения. </w:t>
            </w:r>
          </w:p>
          <w:p w:rsidR="00973634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Отделения интенсивного ухода </w:t>
            </w:r>
            <w:r w:rsidRPr="00973634">
              <w:rPr>
                <w:color w:val="000000"/>
                <w:szCs w:val="22"/>
              </w:rPr>
              <w:t xml:space="preserve">– отделение анестезии, реанимации и интенсивной терапии взрослых детей и новорожденных. </w:t>
            </w:r>
          </w:p>
          <w:p w:rsidR="00973634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Перевод пациента </w:t>
            </w:r>
            <w:r w:rsidRPr="00973634">
              <w:rPr>
                <w:color w:val="000000"/>
                <w:szCs w:val="22"/>
              </w:rPr>
              <w:t xml:space="preserve">– перевод пациента из одного отделения в другое для продолжения лечения на основании переводного эпикриза врача. Например, перевод пациента из профильного клинического отделения в ОАРИТ. </w:t>
            </w:r>
          </w:p>
          <w:p w:rsidR="00B50C4E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СПОР </w:t>
            </w:r>
            <w:r w:rsidRPr="00973634">
              <w:rPr>
                <w:color w:val="000000"/>
                <w:szCs w:val="22"/>
              </w:rPr>
              <w:t xml:space="preserve">– схема передачи пациента, включающая информацию: Ситуация – что происходит, Предпосылка - что предшествовало этому, Оценка – состояние на момент перевода/передачи, Рекомендации – что необходимо делать дальше. </w:t>
            </w:r>
          </w:p>
        </w:tc>
      </w:tr>
      <w:tr w:rsidR="00B50C4E" w:rsidRPr="00973634" w:rsidTr="000E18D0">
        <w:trPr>
          <w:trHeight w:val="261"/>
        </w:trPr>
        <w:tc>
          <w:tcPr>
            <w:tcW w:w="709" w:type="dxa"/>
          </w:tcPr>
          <w:p w:rsidR="00B50C4E" w:rsidRPr="00973634" w:rsidRDefault="00B50C4E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640" w:type="dxa"/>
            <w:vAlign w:val="center"/>
          </w:tcPr>
          <w:p w:rsidR="00973634" w:rsidRPr="00973634" w:rsidRDefault="00973634" w:rsidP="00973634">
            <w:pPr>
              <w:tabs>
                <w:tab w:val="left" w:pos="1027"/>
              </w:tabs>
              <w:overflowPunct/>
              <w:spacing w:line="276" w:lineRule="auto"/>
              <w:ind w:left="460"/>
              <w:jc w:val="both"/>
              <w:textAlignment w:val="auto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Определения: </w:t>
            </w:r>
          </w:p>
          <w:p w:rsidR="00973634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Временная передача пациента </w:t>
            </w:r>
            <w:r w:rsidRPr="00973634">
              <w:rPr>
                <w:color w:val="000000"/>
                <w:szCs w:val="22"/>
              </w:rPr>
              <w:t xml:space="preserve">– временное отведение пациента из одного отделения в другое для проведения процедуры (например, для посещения физиотерапевтических процедур, диагностических исследований). </w:t>
            </w:r>
          </w:p>
          <w:p w:rsidR="00973634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Лечащий врач – </w:t>
            </w:r>
            <w:r w:rsidRPr="00973634">
              <w:rPr>
                <w:color w:val="000000"/>
                <w:szCs w:val="22"/>
              </w:rPr>
              <w:t xml:space="preserve">квалифицированное лицо, несущее общую ответственность за координацию лечения пациента или за определенный этап его лечения. </w:t>
            </w:r>
          </w:p>
          <w:p w:rsidR="00973634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Отделения интенсивного ухода </w:t>
            </w:r>
            <w:r w:rsidRPr="00973634">
              <w:rPr>
                <w:color w:val="000000"/>
                <w:szCs w:val="22"/>
              </w:rPr>
              <w:t xml:space="preserve">– отделение анестезии, реанимации и интенсивной терапии взрослых детей и новорожденных. </w:t>
            </w:r>
          </w:p>
          <w:p w:rsidR="00973634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Перевод пациента </w:t>
            </w:r>
            <w:r w:rsidRPr="00973634">
              <w:rPr>
                <w:color w:val="000000"/>
                <w:szCs w:val="22"/>
              </w:rPr>
              <w:t xml:space="preserve">– перевод пациента из одного отделения в другое для продолжения лечения на основании переводного эпикриза врача. Например, перевод пациента из профильного клинического отделения в ОАРИТ. </w:t>
            </w:r>
          </w:p>
          <w:p w:rsidR="00B50C4E" w:rsidRPr="00973634" w:rsidRDefault="00973634" w:rsidP="00973634">
            <w:pPr>
              <w:tabs>
                <w:tab w:val="left" w:pos="1027"/>
              </w:tabs>
              <w:ind w:left="460"/>
              <w:jc w:val="both"/>
              <w:rPr>
                <w:color w:val="000000"/>
                <w:szCs w:val="22"/>
              </w:rPr>
            </w:pPr>
            <w:r w:rsidRPr="00973634">
              <w:rPr>
                <w:b/>
                <w:bCs/>
                <w:color w:val="000000"/>
                <w:szCs w:val="22"/>
              </w:rPr>
              <w:t xml:space="preserve">СПОР </w:t>
            </w:r>
            <w:r w:rsidRPr="00973634">
              <w:rPr>
                <w:color w:val="000000"/>
                <w:szCs w:val="22"/>
              </w:rPr>
              <w:t xml:space="preserve">– схема передачи пациента, включающая информацию: Ситуация – что происходит, Предпосылка - что предшествовало этому, Оценка – состояние на момент перевода/передачи, Рекомендации – что необходимо делать дальше. </w:t>
            </w:r>
          </w:p>
        </w:tc>
      </w:tr>
      <w:tr w:rsidR="00B50C4E" w:rsidRPr="00973634" w:rsidTr="000E18D0">
        <w:trPr>
          <w:trHeight w:val="261"/>
        </w:trPr>
        <w:tc>
          <w:tcPr>
            <w:tcW w:w="709" w:type="dxa"/>
          </w:tcPr>
          <w:p w:rsidR="00B50C4E" w:rsidRPr="00973634" w:rsidRDefault="00B50C4E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640" w:type="dxa"/>
            <w:vAlign w:val="center"/>
          </w:tcPr>
          <w:p w:rsidR="00973634" w:rsidRPr="00973634" w:rsidRDefault="00973634" w:rsidP="00973634">
            <w:pPr>
              <w:pStyle w:val="Default"/>
              <w:tabs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Сокращения: </w:t>
            </w:r>
          </w:p>
          <w:p w:rsidR="00973634" w:rsidRPr="00973634" w:rsidRDefault="00973634" w:rsidP="00973634">
            <w:pPr>
              <w:pStyle w:val="Default"/>
              <w:tabs>
                <w:tab w:val="left" w:pos="0"/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ОАРИТ – отделение анестезии, реанимации и интенсивной терапии; </w:t>
            </w:r>
          </w:p>
          <w:p w:rsidR="00973634" w:rsidRPr="00973634" w:rsidRDefault="00973634" w:rsidP="00973634">
            <w:pPr>
              <w:pStyle w:val="Default"/>
              <w:tabs>
                <w:tab w:val="left" w:pos="0"/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ОДАРИТ – отделение детской анестезии, реанимации и интенсивной терапии; </w:t>
            </w:r>
          </w:p>
          <w:p w:rsidR="00B50C4E" w:rsidRPr="00973634" w:rsidRDefault="00973634" w:rsidP="00973634">
            <w:pPr>
              <w:pStyle w:val="Default"/>
              <w:tabs>
                <w:tab w:val="left" w:pos="0"/>
                <w:tab w:val="left" w:pos="1027"/>
              </w:tabs>
              <w:spacing w:line="276" w:lineRule="auto"/>
              <w:ind w:left="460"/>
              <w:jc w:val="both"/>
              <w:rPr>
                <w:b/>
                <w:bCs/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>ОРИТН – отделение реанимации и интенсивной терапии новорожденных.</w:t>
            </w:r>
          </w:p>
        </w:tc>
      </w:tr>
      <w:tr w:rsidR="00B50C4E" w:rsidRPr="00973634" w:rsidTr="000E18D0">
        <w:trPr>
          <w:trHeight w:val="261"/>
        </w:trPr>
        <w:tc>
          <w:tcPr>
            <w:tcW w:w="709" w:type="dxa"/>
          </w:tcPr>
          <w:p w:rsidR="00B50C4E" w:rsidRPr="00973634" w:rsidRDefault="00B50C4E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640" w:type="dxa"/>
            <w:vAlign w:val="center"/>
          </w:tcPr>
          <w:p w:rsidR="00973634" w:rsidRPr="00973634" w:rsidRDefault="00973634" w:rsidP="00973634">
            <w:pPr>
              <w:pStyle w:val="Default"/>
              <w:tabs>
                <w:tab w:val="left" w:pos="0"/>
                <w:tab w:val="left" w:pos="900"/>
                <w:tab w:val="left" w:pos="1027"/>
              </w:tabs>
              <w:spacing w:line="276" w:lineRule="auto"/>
              <w:ind w:left="460"/>
              <w:jc w:val="both"/>
              <w:rPr>
                <w:bCs/>
                <w:sz w:val="22"/>
                <w:szCs w:val="22"/>
              </w:rPr>
            </w:pPr>
            <w:r w:rsidRPr="00973634">
              <w:rPr>
                <w:b/>
                <w:sz w:val="22"/>
                <w:szCs w:val="22"/>
              </w:rPr>
              <w:t xml:space="preserve">Документирование: </w:t>
            </w:r>
          </w:p>
          <w:p w:rsidR="00973634" w:rsidRPr="00973634" w:rsidRDefault="00973634" w:rsidP="00973634">
            <w:pPr>
              <w:pStyle w:val="Default"/>
              <w:tabs>
                <w:tab w:val="left" w:pos="0"/>
                <w:tab w:val="left" w:pos="900"/>
                <w:tab w:val="left" w:pos="1027"/>
              </w:tabs>
              <w:spacing w:line="276" w:lineRule="auto"/>
              <w:ind w:left="460"/>
              <w:jc w:val="both"/>
              <w:rPr>
                <w:bCs/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>Специальные формы медицинской карты стационарного больного: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7"/>
              </w:numPr>
              <w:tabs>
                <w:tab w:val="left" w:pos="0"/>
                <w:tab w:val="left" w:pos="900"/>
                <w:tab w:val="left" w:pos="1027"/>
                <w:tab w:val="left" w:pos="1080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lastRenderedPageBreak/>
              <w:t xml:space="preserve">Форма «Перевод пациента </w:t>
            </w:r>
            <w:r w:rsidRPr="00973634">
              <w:rPr>
                <w:bCs/>
                <w:sz w:val="22"/>
                <w:szCs w:val="22"/>
              </w:rPr>
              <w:t>между средним медицинским персоналом</w:t>
            </w:r>
            <w:r w:rsidRPr="00973634">
              <w:rPr>
                <w:sz w:val="22"/>
                <w:szCs w:val="22"/>
              </w:rPr>
              <w:t xml:space="preserve"> </w:t>
            </w:r>
            <w:r w:rsidRPr="00973634">
              <w:rPr>
                <w:bCs/>
                <w:sz w:val="22"/>
                <w:szCs w:val="22"/>
              </w:rPr>
              <w:t>по схеме «СПОР»;</w:t>
            </w:r>
          </w:p>
          <w:p w:rsidR="00B50C4E" w:rsidRPr="00973634" w:rsidRDefault="00973634" w:rsidP="00973634">
            <w:pPr>
              <w:pStyle w:val="Default"/>
              <w:numPr>
                <w:ilvl w:val="0"/>
                <w:numId w:val="37"/>
              </w:numPr>
              <w:tabs>
                <w:tab w:val="left" w:pos="0"/>
                <w:tab w:val="left" w:pos="900"/>
                <w:tab w:val="left" w:pos="1027"/>
                <w:tab w:val="left" w:pos="1080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Cs/>
                <w:sz w:val="22"/>
                <w:szCs w:val="22"/>
              </w:rPr>
              <w:t>Критерии перевода в/из ОАРИТ, ОДАРИТ, ОРИТН.</w:t>
            </w:r>
          </w:p>
        </w:tc>
      </w:tr>
      <w:tr w:rsidR="00B50C4E" w:rsidRPr="00973634" w:rsidTr="000E18D0">
        <w:trPr>
          <w:trHeight w:val="261"/>
        </w:trPr>
        <w:tc>
          <w:tcPr>
            <w:tcW w:w="709" w:type="dxa"/>
          </w:tcPr>
          <w:p w:rsidR="00B50C4E" w:rsidRPr="00973634" w:rsidRDefault="00B50C4E" w:rsidP="008A7825">
            <w:pPr>
              <w:pStyle w:val="aa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left="426"/>
              <w:textAlignment w:val="auto"/>
              <w:rPr>
                <w:szCs w:val="22"/>
              </w:rPr>
            </w:pPr>
          </w:p>
        </w:tc>
        <w:tc>
          <w:tcPr>
            <w:tcW w:w="9640" w:type="dxa"/>
            <w:vAlign w:val="center"/>
          </w:tcPr>
          <w:p w:rsidR="00973634" w:rsidRPr="00973634" w:rsidRDefault="00973634" w:rsidP="00973634">
            <w:pPr>
              <w:pStyle w:val="Default"/>
              <w:tabs>
                <w:tab w:val="left" w:pos="0"/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Порядок выполнения правил.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3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Временная передача пациента между отделениями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Временная передача пациента между отделениями выполняется в сопровождении среднего медицинского персонала с медицинской картой стационарного больного.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>Временная передача пациента между средним медицинским персоналом из одних рук в другие (например, физио-процедура, диагностическое исследование, операция) выполняется с оценкой состояния пациента на момент передачи по форме «Перевод пациента средним медперсоналом» (</w:t>
            </w:r>
            <w:r w:rsidRPr="00973634">
              <w:rPr>
                <w:i/>
                <w:iCs/>
                <w:sz w:val="22"/>
                <w:szCs w:val="22"/>
              </w:rPr>
              <w:t>Приложение 1</w:t>
            </w:r>
            <w:r w:rsidRPr="00973634">
              <w:rPr>
                <w:sz w:val="22"/>
                <w:szCs w:val="22"/>
              </w:rPr>
              <w:t xml:space="preserve">).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В форме «Перевод пациента средним медперсоналом» используется </w:t>
            </w:r>
            <w:r w:rsidRPr="00973634">
              <w:rPr>
                <w:b/>
                <w:sz w:val="22"/>
                <w:szCs w:val="22"/>
              </w:rPr>
              <w:t>схема СПОР</w:t>
            </w:r>
            <w:r w:rsidRPr="00973634">
              <w:rPr>
                <w:sz w:val="22"/>
                <w:szCs w:val="22"/>
              </w:rPr>
              <w:t xml:space="preserve">, где сотрудник отмечает: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5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Ситуацию, </w:t>
            </w:r>
            <w:r w:rsidRPr="00973634">
              <w:rPr>
                <w:sz w:val="22"/>
                <w:szCs w:val="22"/>
              </w:rPr>
              <w:t xml:space="preserve">что происходит (из какого отделения и в какое; есть ли беспокойства или жалобы);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5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Предпосылку, </w:t>
            </w:r>
            <w:r w:rsidRPr="00973634">
              <w:rPr>
                <w:sz w:val="22"/>
                <w:szCs w:val="22"/>
              </w:rPr>
              <w:t xml:space="preserve">что предшествовало этому (указать проблемы – например, если повышена температура тела, пульс, ЧДД, АД; если есть боль, внутривенные назначения, дренажная трубка, состояние операционной раны, назначена ли перевязка);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5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Оценку </w:t>
            </w:r>
            <w:r w:rsidRPr="00973634">
              <w:rPr>
                <w:sz w:val="22"/>
                <w:szCs w:val="22"/>
              </w:rPr>
              <w:t xml:space="preserve">(состояние пациента на момент перевода и риск падения на момент перевода);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5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Рекомендации, </w:t>
            </w:r>
            <w:r w:rsidRPr="00973634">
              <w:rPr>
                <w:sz w:val="22"/>
                <w:szCs w:val="22"/>
              </w:rPr>
              <w:t xml:space="preserve">что необходимо делать дальше (их может написать передающая медсестра или совместно принимающая и передающая медсестры);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Форма «Перевод пациента средним медперсоналом» документируется с подписями сдающего и принимающего персонала, указывается дата и время передачи пациента.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При переводе пациента на обследование, сторона осуществляющая перевод должна обеспечить 100% сопровождение до места назначения и возвращение в отделение.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Принимающая сторона должна проследить за тем, чтобы пациент не покидал кабинет без сопровождающего лица после окончания процедуры. В случае отсутствия сопровождающего лица, необходимо связаться с отделением.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Если состояние больного ухудшилось во время транспортировки, передающий обязан отметить это в форме «Перевод пациента средним медперсоналом».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Если при временной передаче пациента произошли непредвиденные ситуации, способствующие нарушению коммуникации при передачи пациента, то необходимо подать отчет об инциденте в Службу поддержки пациента.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8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Старшие медсестры обеспечивают ознакомление всех средних медицинских работников с формой «Перевод пациента средним медперсоналом» и адекватную оценку состояния пациента на момент перевода. </w:t>
            </w:r>
          </w:p>
          <w:p w:rsidR="00973634" w:rsidRPr="00973634" w:rsidRDefault="00973634" w:rsidP="00973634">
            <w:pPr>
              <w:pStyle w:val="Default"/>
              <w:tabs>
                <w:tab w:val="left" w:pos="0"/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7.2. Перевод пациента между отделениями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40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>Перевод пациента между отделениями (при смене профиля) для продолжения лечения со сменой лечащего врача проводится после оформления переводного эпикриза лечащего врача с указанием причины перевода.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40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Переводной эпикриз составляется по схеме СПОР, где врач отмечает: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5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Ситуацию </w:t>
            </w:r>
            <w:r w:rsidRPr="00973634">
              <w:rPr>
                <w:sz w:val="22"/>
                <w:szCs w:val="22"/>
              </w:rPr>
              <w:t xml:space="preserve">(из какого отделения, в какое; причина перевода, диагнозы, жалобы на момент перевода). Пункт «жалобы» рекомендуется заполнить во время фактического перевода;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5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Предпосылку </w:t>
            </w:r>
            <w:r w:rsidRPr="00973634">
              <w:rPr>
                <w:sz w:val="22"/>
                <w:szCs w:val="22"/>
              </w:rPr>
              <w:t xml:space="preserve">(основные сведения из анамнеза, кратко перечислить проведенные исследования и лечение без деталей и результатов, перечислить осмотры консультантов и консилиумы);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5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Оценку </w:t>
            </w:r>
            <w:r w:rsidRPr="00973634">
              <w:rPr>
                <w:sz w:val="22"/>
                <w:szCs w:val="22"/>
              </w:rPr>
              <w:t xml:space="preserve">(состояние пациента на момент перевода, показатели жизненно-важных функций и беспокойства по системам с уточнением синдрома или симптома справа в свободном месте). Этот раздел рекомендуется заполнить во время фактического перевода;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5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Рекомендации </w:t>
            </w:r>
            <w:r w:rsidRPr="00973634">
              <w:rPr>
                <w:sz w:val="22"/>
                <w:szCs w:val="22"/>
              </w:rPr>
              <w:t>(указать если есть назначения, требующие завершения, ожидаемые ме</w:t>
            </w:r>
            <w:r w:rsidRPr="00973634">
              <w:rPr>
                <w:sz w:val="22"/>
                <w:szCs w:val="22"/>
              </w:rPr>
              <w:lastRenderedPageBreak/>
              <w:t xml:space="preserve">роприятия и др. рекомендации).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Переводной эпикриз можно заполнить заранее до перевода, кроме разделов или строк, отражающих состояние пациента на момент перевода.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Передающая и принимающая медсестры, передают друг другу информацию о пациенте по схеме СПОР.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Врач и медицинская сестра принимающего отделения снова проводят совместный медицинский осмотр пациента, составляют новый план лечения и ухода пациента. </w:t>
            </w:r>
          </w:p>
          <w:p w:rsidR="00973634" w:rsidRPr="00973634" w:rsidRDefault="00973634" w:rsidP="00973634">
            <w:pPr>
              <w:pStyle w:val="Default"/>
              <w:tabs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 xml:space="preserve">7.3. Перевод в/из отделений реанимации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Перевод пациента в/из отделений реанимации проводится на основе установленных, физиологически обоснованных </w:t>
            </w:r>
            <w:r w:rsidRPr="00973634">
              <w:rPr>
                <w:b/>
                <w:bCs/>
                <w:sz w:val="22"/>
                <w:szCs w:val="22"/>
              </w:rPr>
              <w:t>критериев перевода</w:t>
            </w:r>
            <w:r w:rsidRPr="00973634">
              <w:rPr>
                <w:sz w:val="22"/>
                <w:szCs w:val="22"/>
              </w:rPr>
              <w:t xml:space="preserve">, разработанных отдельно для ОАРИТ, ОДАРИТ, ОРИТН.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Критерии перевода пациентов, нуждающихся в специализированной и интенсивной терапии основаны на физиологических и клинических данных и разработаны коллективно руководителями клинических отделений Больницы.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Критерии перевода используются для определения необходимости и готовности перевода пациента в/из отделений реанимации, и каждый критерий перевода (каждая строка) </w:t>
            </w:r>
            <w:r w:rsidRPr="00973634">
              <w:rPr>
                <w:b/>
                <w:bCs/>
                <w:sz w:val="22"/>
                <w:szCs w:val="22"/>
              </w:rPr>
              <w:t>подписываются совместно лечащим врачом и реаниматологом</w:t>
            </w:r>
            <w:r w:rsidRPr="00973634">
              <w:rPr>
                <w:sz w:val="22"/>
                <w:szCs w:val="22"/>
              </w:rPr>
              <w:t xml:space="preserve">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Критерии перевода документируются по формам ОДАРИТ-КП, ОРИТН-КП, ОАРИТ-КП </w:t>
            </w:r>
            <w:r w:rsidRPr="00973634">
              <w:rPr>
                <w:i/>
                <w:iCs/>
                <w:sz w:val="22"/>
                <w:szCs w:val="22"/>
              </w:rPr>
              <w:t xml:space="preserve">(см. Приложение 2).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Переводной эпикриз с критериями перевода документируется во всех случаях перевода пациента из профильного отделения в отделения реанимации, в экстренных ситуациях при переводе пациента из оперблока в реанимацию, форма переводной эпикриз с критериями перевода не документируется.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>Нахождение пациентов легкой и средней степени тяжести в отделении реанимации должно быть клинически обосновано.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Реаниматологи, анестезиологи отделения реанимации </w:t>
            </w:r>
            <w:r w:rsidRPr="00973634">
              <w:rPr>
                <w:b/>
                <w:bCs/>
                <w:sz w:val="22"/>
                <w:szCs w:val="22"/>
              </w:rPr>
              <w:t xml:space="preserve">в будние дни </w:t>
            </w:r>
            <w:r w:rsidRPr="00973634">
              <w:rPr>
                <w:bCs/>
                <w:sz w:val="22"/>
                <w:szCs w:val="22"/>
              </w:rPr>
              <w:t>согласовывают</w:t>
            </w:r>
            <w:r w:rsidRPr="00973634">
              <w:rPr>
                <w:b/>
                <w:bCs/>
                <w:sz w:val="22"/>
                <w:szCs w:val="22"/>
              </w:rPr>
              <w:t xml:space="preserve"> </w:t>
            </w:r>
            <w:r w:rsidRPr="00973634">
              <w:rPr>
                <w:sz w:val="22"/>
                <w:szCs w:val="22"/>
              </w:rPr>
              <w:t xml:space="preserve">перевод пациента с соответствующим заведующим реанимации.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Реаниматологи, анестезиологи отделений реанимации </w:t>
            </w:r>
            <w:r w:rsidRPr="00973634">
              <w:rPr>
                <w:b/>
                <w:bCs/>
                <w:sz w:val="22"/>
                <w:szCs w:val="22"/>
              </w:rPr>
              <w:t xml:space="preserve">в праздничные и выходные дни </w:t>
            </w:r>
            <w:r w:rsidRPr="00973634">
              <w:rPr>
                <w:bCs/>
                <w:sz w:val="22"/>
                <w:szCs w:val="22"/>
              </w:rPr>
              <w:t>согласовывают</w:t>
            </w:r>
            <w:r w:rsidRPr="00973634">
              <w:rPr>
                <w:b/>
                <w:bCs/>
                <w:sz w:val="22"/>
                <w:szCs w:val="22"/>
              </w:rPr>
              <w:t xml:space="preserve"> </w:t>
            </w:r>
            <w:r w:rsidRPr="00973634">
              <w:rPr>
                <w:sz w:val="22"/>
                <w:szCs w:val="22"/>
              </w:rPr>
              <w:t xml:space="preserve">перевод с ответственным дежурным врачом по профилю (хирургическому, педиатрическому, онкологическому и акушерско-гинекологическому), рекомендуется также по телефону информировать лечащего врача пациента или заведующего профильным отделением.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При возникновении спорного вопроса, перевод согласовывают с заведующим реанимации и заведующим профильным отделением.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9"/>
              </w:numPr>
              <w:tabs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Пациенты переводятся в профильные отделения только после проведения неотложных лечебных мероприятий, стабилизации жизненных функций, коррекции метаболических нарушений и т.д., что должно быть отражено в критериях перевода из отделений реанимации (выражено клиническими, лабораторными, электрофизиологическими данными). </w:t>
            </w:r>
          </w:p>
          <w:p w:rsidR="00973634" w:rsidRPr="00973634" w:rsidRDefault="00973634" w:rsidP="00973634">
            <w:pPr>
              <w:pStyle w:val="Default"/>
              <w:tabs>
                <w:tab w:val="left" w:pos="0"/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bCs/>
                <w:sz w:val="22"/>
                <w:szCs w:val="22"/>
              </w:rPr>
              <w:t>7.4. Перевод из реанимации в профильные отделения</w:t>
            </w:r>
            <w:r w:rsidRPr="00973634">
              <w:rPr>
                <w:sz w:val="22"/>
                <w:szCs w:val="22"/>
              </w:rPr>
              <w:t xml:space="preserve">: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Перевод пациентов из реанимационных отделений в подразделение по профилю заболевания для дальнейшего лечения и наблюдения осуществляется после устойчивого восстановления и стабилизации гемодинамики, спонтанного дыхания и коррекции метаболических нарушений.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Пациенты, экстренно поступающие в палаты реанимации и интенсивной терапии в критическом состоянии с неуточненным диагнозом, переводятся в другие отделения, в том числе в другие реанимационные отделения, только после проведения неотложных лечебных мероприятий, стабилизации нарушений жизненно важных функций, коррекции метаболических нарушений, что должно быть убедительно документировано в медицинской карте стационарного больного клиническими, лабораторными, электрофизиологическими данными.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>Решение о переводе пациента в отделение по профилю заболевания принимается заве</w:t>
            </w:r>
            <w:r w:rsidRPr="00973634">
              <w:rPr>
                <w:sz w:val="22"/>
                <w:szCs w:val="22"/>
              </w:rPr>
              <w:lastRenderedPageBreak/>
              <w:t xml:space="preserve">дующим подразделением, оказывающим анестезиолого-реанимационную помощь, либо лицом его замещающим, на основании результатов совместного осмотра пациента врачом анестезиологом-реаниматологом и лечащим врачом и/или заведующим профильным отделением согласно критериям перевода из ОАРИТ, а в спорных ситуациях – консилиумом врачей.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При отсутствии вышеуказанных лиц перевод пациента может быть осуществлен дежурным реаниматологом по согласованию со старшим дежурным врачом.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Показания к переводу пациентов в профильные отделения стационара определяются: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состоянием больных: отсутствием нарушений витальных функций или инкурабельностью.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необходимостью обеспечить большим вниманием тяжелых больных, находящихся в ОАРИТ.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Критерии показателей витальных функций пациентов, подлежащих переводу из отделения реанимации и интенсивной терапии в профильные отделения: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sz w:val="22"/>
                <w:szCs w:val="22"/>
              </w:rPr>
              <w:t>Уровень сознания</w:t>
            </w:r>
            <w:r w:rsidRPr="00973634">
              <w:rPr>
                <w:sz w:val="22"/>
                <w:szCs w:val="22"/>
              </w:rPr>
              <w:t xml:space="preserve">: ясное.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sz w:val="22"/>
                <w:szCs w:val="22"/>
              </w:rPr>
              <w:t>Система дыхания</w:t>
            </w:r>
            <w:r w:rsidRPr="00973634">
              <w:rPr>
                <w:sz w:val="22"/>
                <w:szCs w:val="22"/>
              </w:rPr>
              <w:t xml:space="preserve">: дыхание глубокое и свободное, способен откашливаться.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sz w:val="22"/>
                <w:szCs w:val="22"/>
              </w:rPr>
              <w:t>Гемодинамика (</w:t>
            </w:r>
            <w:r w:rsidRPr="00973634">
              <w:rPr>
                <w:sz w:val="22"/>
                <w:szCs w:val="22"/>
              </w:rPr>
              <w:t>САД – систолическое артериальное давление, ДАД – диастолическое артериальное давление)</w:t>
            </w:r>
          </w:p>
          <w:p w:rsidR="00973634" w:rsidRPr="00973634" w:rsidRDefault="00973634" w:rsidP="00973634">
            <w:pPr>
              <w:pStyle w:val="Default"/>
              <w:tabs>
                <w:tab w:val="left" w:pos="0"/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САД ± 20 мм.рт.ст. от уровня нормального (привычного) для данного пациента. </w:t>
            </w:r>
          </w:p>
          <w:p w:rsidR="00973634" w:rsidRPr="00973634" w:rsidRDefault="00973634" w:rsidP="00973634">
            <w:pPr>
              <w:pStyle w:val="Default"/>
              <w:tabs>
                <w:tab w:val="left" w:pos="0"/>
                <w:tab w:val="left" w:pos="1027"/>
              </w:tabs>
              <w:spacing w:line="276" w:lineRule="auto"/>
              <w:ind w:left="46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ДАД ± 20 мм.рт.ст. от уровня нормального (привычного) для данного пациента.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sz w:val="22"/>
                <w:szCs w:val="22"/>
              </w:rPr>
              <w:t>Физиологические отправления</w:t>
            </w:r>
            <w:r w:rsidRPr="00973634">
              <w:rPr>
                <w:sz w:val="22"/>
                <w:szCs w:val="22"/>
              </w:rPr>
              <w:t xml:space="preserve">: отсутствие нарушений физиологических отправлений. </w:t>
            </w:r>
          </w:p>
          <w:p w:rsidR="00973634" w:rsidRPr="00973634" w:rsidRDefault="00973634" w:rsidP="00973634">
            <w:pPr>
              <w:pStyle w:val="Default"/>
              <w:numPr>
                <w:ilvl w:val="1"/>
                <w:numId w:val="37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b/>
                <w:sz w:val="22"/>
                <w:szCs w:val="22"/>
              </w:rPr>
              <w:t>Оксигенация</w:t>
            </w:r>
            <w:r w:rsidRPr="00973634">
              <w:rPr>
                <w:sz w:val="22"/>
                <w:szCs w:val="22"/>
              </w:rPr>
              <w:t xml:space="preserve">: SpO2 ˃ 92 % на фоне дыхания атмосферным воздухом.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Заведующие профильными отделениями и их персонал обеспечивают немедленный прием пациентов, переводимых из отделений реанимации и интенсивной терапии после соответствующего уведомления. Ответственность за готовность к своевременному переводу в интересах пациента несет заведующий профильным отделением.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Транспортировка пациентов из отделений реанимации и интенсивной терапии осуществляется медсестрами профильного отделения. 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36"/>
              </w:numPr>
              <w:tabs>
                <w:tab w:val="left" w:pos="0"/>
                <w:tab w:val="left" w:pos="1027"/>
              </w:tabs>
              <w:spacing w:line="276" w:lineRule="auto"/>
              <w:ind w:left="460" w:firstLine="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При переводе пациента в/ из отделений реанимаций медсестры передают пациента друг другу по форме СПОР. </w:t>
            </w:r>
          </w:p>
        </w:tc>
      </w:tr>
    </w:tbl>
    <w:p w:rsidR="00D83265" w:rsidRPr="00973634" w:rsidRDefault="00D83265" w:rsidP="00D83265">
      <w:pPr>
        <w:overflowPunct/>
        <w:autoSpaceDE/>
        <w:autoSpaceDN/>
        <w:adjustRightInd/>
        <w:textAlignment w:val="auto"/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134544" w:rsidRPr="00973634" w:rsidTr="00F65158">
        <w:trPr>
          <w:trHeight w:val="235"/>
        </w:trPr>
        <w:tc>
          <w:tcPr>
            <w:tcW w:w="10349" w:type="dxa"/>
            <w:shd w:val="clear" w:color="auto" w:fill="92D050"/>
            <w:vAlign w:val="center"/>
          </w:tcPr>
          <w:p w:rsidR="00134544" w:rsidRPr="00973634" w:rsidRDefault="00134544" w:rsidP="00000362">
            <w:pPr>
              <w:rPr>
                <w:b/>
                <w:szCs w:val="22"/>
              </w:rPr>
            </w:pPr>
            <w:r w:rsidRPr="00973634">
              <w:rPr>
                <w:b/>
                <w:szCs w:val="22"/>
              </w:rPr>
              <w:t>Составлено на основании:</w:t>
            </w:r>
          </w:p>
        </w:tc>
      </w:tr>
      <w:tr w:rsidR="00134544" w:rsidRPr="00973634" w:rsidTr="009B64A0">
        <w:trPr>
          <w:trHeight w:val="865"/>
        </w:trPr>
        <w:tc>
          <w:tcPr>
            <w:tcW w:w="10349" w:type="dxa"/>
            <w:vAlign w:val="center"/>
          </w:tcPr>
          <w:p w:rsidR="00973634" w:rsidRPr="00973634" w:rsidRDefault="00973634" w:rsidP="00973634">
            <w:pPr>
              <w:pStyle w:val="Default"/>
              <w:numPr>
                <w:ilvl w:val="0"/>
                <w:numId w:val="41"/>
              </w:numPr>
              <w:tabs>
                <w:tab w:val="left" w:pos="0"/>
                <w:tab w:val="left" w:pos="1440"/>
              </w:tabs>
              <w:spacing w:line="276" w:lineRule="auto"/>
              <w:ind w:left="0" w:firstLine="90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 xml:space="preserve">Приказ Министра здравоохранения Республики Казахстан от 2 октября 2012 года № 676 «Об утверждении стандартов аккредитации медицинских организаций» (с изменениями и дополнением от 5 июня 2018), Приложение 2, Глава 4: Лечение и уход за пациентом, Параграф 3: Лечение и уход за пациентом, </w:t>
            </w:r>
            <w:r w:rsidRPr="00973634">
              <w:rPr>
                <w:rFonts w:eastAsia="Times New Roman"/>
                <w:sz w:val="22"/>
                <w:szCs w:val="22"/>
              </w:rPr>
              <w:t>Стандарт 78. Перевод пациента между отделениями;</w:t>
            </w:r>
          </w:p>
          <w:p w:rsidR="00973634" w:rsidRPr="00973634" w:rsidRDefault="00973634" w:rsidP="00973634">
            <w:pPr>
              <w:pStyle w:val="aa"/>
              <w:numPr>
                <w:ilvl w:val="0"/>
                <w:numId w:val="41"/>
              </w:numPr>
              <w:tabs>
                <w:tab w:val="left" w:pos="0"/>
                <w:tab w:val="left" w:pos="1440"/>
              </w:tabs>
              <w:overflowPunct/>
              <w:spacing w:line="276" w:lineRule="auto"/>
              <w:ind w:left="0" w:firstLine="900"/>
              <w:contextualSpacing w:val="0"/>
              <w:jc w:val="both"/>
              <w:textAlignment w:val="auto"/>
              <w:rPr>
                <w:szCs w:val="22"/>
              </w:rPr>
            </w:pPr>
            <w:r w:rsidRPr="00973634">
              <w:rPr>
                <w:szCs w:val="22"/>
              </w:rPr>
              <w:t>Стандарты аккредитации Международной объединенной комиссии (Joint Commission International Accreditation Standards for Hospital – 6th Edition) для больниц, 6-е издание, Глава 1: Международные цели по безопасности пациентов; Глава 2: Доступность и преемственность лечения, 2017г., США;</w:t>
            </w:r>
          </w:p>
          <w:p w:rsidR="00973634" w:rsidRPr="00973634" w:rsidRDefault="00973634" w:rsidP="00973634">
            <w:pPr>
              <w:pStyle w:val="Default"/>
              <w:numPr>
                <w:ilvl w:val="0"/>
                <w:numId w:val="41"/>
              </w:numPr>
              <w:tabs>
                <w:tab w:val="left" w:pos="0"/>
                <w:tab w:val="left" w:pos="1440"/>
              </w:tabs>
              <w:spacing w:line="276" w:lineRule="auto"/>
              <w:ind w:left="0" w:firstLine="900"/>
              <w:jc w:val="both"/>
              <w:rPr>
                <w:sz w:val="22"/>
                <w:szCs w:val="22"/>
              </w:rPr>
            </w:pPr>
            <w:r w:rsidRPr="00973634">
              <w:rPr>
                <w:sz w:val="22"/>
                <w:szCs w:val="22"/>
              </w:rPr>
              <w:t>Королевская коллегия врачей, Лондон, Великобритания: стандартизированная национальная шкала раннего предупреждения (National Early Warning Score, NEWS). https://www.rcplondon.ac.uk/projects/outputs/national-early-warning-score-new</w:t>
            </w:r>
            <w:r w:rsidRPr="00973634">
              <w:rPr>
                <w:rFonts w:eastAsia="Times New Roman"/>
                <w:sz w:val="22"/>
                <w:szCs w:val="22"/>
              </w:rPr>
              <w:t>.</w:t>
            </w:r>
          </w:p>
          <w:p w:rsidR="009B64A0" w:rsidRPr="00973634" w:rsidRDefault="009B64A0" w:rsidP="009B64A0">
            <w:pPr>
              <w:pStyle w:val="aa"/>
              <w:widowControl w:val="0"/>
              <w:tabs>
                <w:tab w:val="left" w:pos="2367"/>
                <w:tab w:val="left" w:pos="2368"/>
                <w:tab w:val="left" w:pos="3477"/>
                <w:tab w:val="left" w:pos="5156"/>
                <w:tab w:val="left" w:pos="6610"/>
                <w:tab w:val="left" w:pos="7225"/>
                <w:tab w:val="left" w:pos="8588"/>
                <w:tab w:val="left" w:pos="9107"/>
                <w:tab w:val="left" w:pos="9248"/>
              </w:tabs>
              <w:overflowPunct/>
              <w:adjustRightInd/>
              <w:spacing w:before="14" w:line="235" w:lineRule="auto"/>
              <w:ind w:left="459" w:right="1310"/>
              <w:jc w:val="both"/>
              <w:textAlignment w:val="auto"/>
              <w:rPr>
                <w:szCs w:val="22"/>
              </w:rPr>
            </w:pPr>
          </w:p>
        </w:tc>
      </w:tr>
    </w:tbl>
    <w:p w:rsidR="00C87FE9" w:rsidRPr="00973634" w:rsidRDefault="00C87FE9" w:rsidP="00313E46">
      <w:pPr>
        <w:tabs>
          <w:tab w:val="left" w:pos="1703"/>
        </w:tabs>
        <w:rPr>
          <w:sz w:val="22"/>
          <w:szCs w:val="22"/>
        </w:rPr>
      </w:pPr>
    </w:p>
    <w:p w:rsidR="00134544" w:rsidRPr="00973634" w:rsidRDefault="00134544" w:rsidP="00313E46">
      <w:pPr>
        <w:tabs>
          <w:tab w:val="left" w:pos="1703"/>
        </w:tabs>
        <w:rPr>
          <w:sz w:val="22"/>
          <w:szCs w:val="22"/>
        </w:rPr>
      </w:pP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03"/>
        <w:gridCol w:w="1241"/>
        <w:gridCol w:w="1028"/>
        <w:gridCol w:w="7477"/>
      </w:tblGrid>
      <w:tr w:rsidR="00134544" w:rsidRPr="00973634" w:rsidTr="00F65158">
        <w:trPr>
          <w:trHeight w:val="272"/>
        </w:trPr>
        <w:tc>
          <w:tcPr>
            <w:tcW w:w="10349" w:type="dxa"/>
            <w:gridSpan w:val="4"/>
            <w:shd w:val="clear" w:color="auto" w:fill="92D050"/>
            <w:vAlign w:val="center"/>
          </w:tcPr>
          <w:p w:rsidR="00134544" w:rsidRPr="00973634" w:rsidRDefault="00134544" w:rsidP="00000362">
            <w:pPr>
              <w:tabs>
                <w:tab w:val="left" w:pos="1703"/>
              </w:tabs>
              <w:rPr>
                <w:szCs w:val="22"/>
              </w:rPr>
            </w:pPr>
            <w:r w:rsidRPr="00973634">
              <w:rPr>
                <w:b/>
                <w:szCs w:val="22"/>
                <w:lang w:eastAsia="ru-RU"/>
              </w:rPr>
              <w:t>Список изменений:</w:t>
            </w:r>
          </w:p>
        </w:tc>
      </w:tr>
      <w:tr w:rsidR="00134544" w:rsidRPr="00973634" w:rsidTr="005229DF">
        <w:tc>
          <w:tcPr>
            <w:tcW w:w="533" w:type="dxa"/>
            <w:vAlign w:val="center"/>
          </w:tcPr>
          <w:p w:rsidR="00134544" w:rsidRPr="00973634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2"/>
                <w:lang w:eastAsia="ru-RU"/>
              </w:rPr>
            </w:pPr>
            <w:r w:rsidRPr="00973634">
              <w:rPr>
                <w:b/>
                <w:szCs w:val="22"/>
                <w:lang w:eastAsia="ru-RU"/>
              </w:rPr>
              <w:t>№ ред.</w:t>
            </w:r>
          </w:p>
        </w:tc>
        <w:tc>
          <w:tcPr>
            <w:tcW w:w="1245" w:type="dxa"/>
            <w:vAlign w:val="center"/>
          </w:tcPr>
          <w:p w:rsidR="00134544" w:rsidRPr="00973634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2"/>
                <w:lang w:eastAsia="ru-RU"/>
              </w:rPr>
            </w:pPr>
            <w:r w:rsidRPr="00973634">
              <w:rPr>
                <w:b/>
                <w:szCs w:val="22"/>
                <w:lang w:eastAsia="ru-RU"/>
              </w:rPr>
              <w:t>дата</w:t>
            </w:r>
          </w:p>
        </w:tc>
        <w:tc>
          <w:tcPr>
            <w:tcW w:w="880" w:type="dxa"/>
          </w:tcPr>
          <w:p w:rsidR="00134544" w:rsidRPr="00973634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2"/>
                <w:lang w:eastAsia="ru-RU"/>
              </w:rPr>
            </w:pPr>
            <w:r w:rsidRPr="00973634">
              <w:rPr>
                <w:b/>
                <w:szCs w:val="22"/>
                <w:lang w:eastAsia="ru-RU"/>
              </w:rPr>
              <w:t xml:space="preserve">№ </w:t>
            </w:r>
          </w:p>
          <w:p w:rsidR="00134544" w:rsidRPr="00973634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2"/>
                <w:lang w:eastAsia="ru-RU"/>
              </w:rPr>
            </w:pPr>
            <w:r w:rsidRPr="00973634">
              <w:rPr>
                <w:b/>
                <w:szCs w:val="22"/>
                <w:lang w:eastAsia="ru-RU"/>
              </w:rPr>
              <w:t>приказа</w:t>
            </w:r>
          </w:p>
        </w:tc>
        <w:tc>
          <w:tcPr>
            <w:tcW w:w="7691" w:type="dxa"/>
            <w:vAlign w:val="center"/>
          </w:tcPr>
          <w:p w:rsidR="00134544" w:rsidRPr="00973634" w:rsidRDefault="00134544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2"/>
                <w:lang w:eastAsia="ru-RU"/>
              </w:rPr>
            </w:pPr>
            <w:r w:rsidRPr="00973634">
              <w:rPr>
                <w:b/>
                <w:szCs w:val="22"/>
                <w:lang w:eastAsia="ru-RU"/>
              </w:rPr>
              <w:t>перечень изменений</w:t>
            </w:r>
          </w:p>
        </w:tc>
      </w:tr>
      <w:tr w:rsidR="00000362" w:rsidRPr="00973634" w:rsidTr="00537F1D">
        <w:trPr>
          <w:trHeight w:val="317"/>
        </w:trPr>
        <w:tc>
          <w:tcPr>
            <w:tcW w:w="533" w:type="dxa"/>
            <w:vAlign w:val="center"/>
          </w:tcPr>
          <w:p w:rsidR="00000362" w:rsidRPr="00973634" w:rsidRDefault="000E18D0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2"/>
                <w:lang w:eastAsia="ru-RU"/>
              </w:rPr>
            </w:pPr>
            <w:r w:rsidRPr="00973634">
              <w:rPr>
                <w:color w:val="000000" w:themeColor="text1"/>
                <w:szCs w:val="22"/>
                <w:lang w:eastAsia="ru-RU"/>
              </w:rPr>
              <w:t>001</w:t>
            </w:r>
          </w:p>
        </w:tc>
        <w:tc>
          <w:tcPr>
            <w:tcW w:w="1245" w:type="dxa"/>
            <w:vAlign w:val="center"/>
          </w:tcPr>
          <w:p w:rsidR="00000362" w:rsidRPr="00F65158" w:rsidRDefault="00F65158" w:rsidP="00A45FE2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0"/>
                <w:lang w:eastAsia="ru-RU"/>
              </w:rPr>
            </w:pPr>
            <w:r w:rsidRPr="00F65158">
              <w:rPr>
                <w:color w:val="000000"/>
                <w:sz w:val="20"/>
                <w:lang w:eastAsia="ru-RU"/>
              </w:rPr>
              <w:t>15.07.2019</w:t>
            </w:r>
          </w:p>
        </w:tc>
        <w:tc>
          <w:tcPr>
            <w:tcW w:w="880" w:type="dxa"/>
            <w:vAlign w:val="center"/>
          </w:tcPr>
          <w:p w:rsidR="00000362" w:rsidRPr="00973634" w:rsidRDefault="00F65158" w:rsidP="00925C0C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Cs w:val="22"/>
                <w:lang w:eastAsia="ru-RU"/>
              </w:rPr>
            </w:pPr>
            <w:r>
              <w:rPr>
                <w:color w:val="000000" w:themeColor="text1"/>
                <w:szCs w:val="22"/>
                <w:lang w:eastAsia="ru-RU"/>
              </w:rPr>
              <w:t>56</w:t>
            </w:r>
          </w:p>
        </w:tc>
        <w:tc>
          <w:tcPr>
            <w:tcW w:w="7691" w:type="dxa"/>
            <w:vAlign w:val="center"/>
          </w:tcPr>
          <w:p w:rsidR="00000362" w:rsidRPr="00973634" w:rsidRDefault="000E18D0" w:rsidP="009D4FEA">
            <w:pPr>
              <w:overflowPunct/>
              <w:autoSpaceDE/>
              <w:autoSpaceDN/>
              <w:adjustRightInd/>
              <w:jc w:val="both"/>
              <w:textAlignment w:val="auto"/>
              <w:rPr>
                <w:color w:val="000000" w:themeColor="text1"/>
                <w:szCs w:val="22"/>
                <w:lang w:eastAsia="ru-RU"/>
              </w:rPr>
            </w:pPr>
            <w:r w:rsidRPr="00973634">
              <w:rPr>
                <w:color w:val="000000" w:themeColor="text1"/>
                <w:szCs w:val="22"/>
                <w:lang w:eastAsia="ru-RU"/>
              </w:rPr>
              <w:t xml:space="preserve"> «</w:t>
            </w:r>
            <w:r w:rsidR="00F65158" w:rsidRPr="00F65158">
              <w:rPr>
                <w:rFonts w:eastAsia="Calibri"/>
                <w:sz w:val="20"/>
              </w:rPr>
              <w:t>Правила перевода пациента между отделениями</w:t>
            </w:r>
            <w:r w:rsidRPr="00973634">
              <w:rPr>
                <w:color w:val="000000" w:themeColor="text1"/>
                <w:szCs w:val="22"/>
                <w:lang w:eastAsia="ru-RU"/>
              </w:rPr>
              <w:t>»  введен впервые</w:t>
            </w:r>
          </w:p>
        </w:tc>
      </w:tr>
    </w:tbl>
    <w:p w:rsidR="0071515D" w:rsidRPr="00973634" w:rsidRDefault="0071515D" w:rsidP="0071515D">
      <w:pPr>
        <w:overflowPunct/>
        <w:autoSpaceDE/>
        <w:autoSpaceDN/>
        <w:adjustRightInd/>
        <w:spacing w:line="276" w:lineRule="auto"/>
        <w:textAlignment w:val="auto"/>
        <w:rPr>
          <w:sz w:val="22"/>
          <w:szCs w:val="22"/>
        </w:rPr>
      </w:pPr>
    </w:p>
    <w:p w:rsidR="0071515D" w:rsidRPr="00973634" w:rsidRDefault="0071515D" w:rsidP="00DE3917">
      <w:pPr>
        <w:jc w:val="center"/>
        <w:rPr>
          <w:b/>
          <w:sz w:val="22"/>
          <w:szCs w:val="22"/>
        </w:rPr>
      </w:pPr>
    </w:p>
    <w:p w:rsidR="00DE3917" w:rsidRPr="00973634" w:rsidRDefault="0071515D" w:rsidP="0071515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2"/>
          <w:szCs w:val="22"/>
        </w:rPr>
      </w:pPr>
      <w:r w:rsidRPr="00973634">
        <w:rPr>
          <w:b/>
          <w:sz w:val="22"/>
          <w:szCs w:val="22"/>
        </w:rPr>
        <w:br w:type="page"/>
      </w:r>
      <w:r w:rsidR="00DE3917" w:rsidRPr="00973634">
        <w:rPr>
          <w:b/>
          <w:sz w:val="22"/>
          <w:szCs w:val="22"/>
        </w:rPr>
        <w:lastRenderedPageBreak/>
        <w:t>Список ознакомления с документом</w:t>
      </w:r>
    </w:p>
    <w:tbl>
      <w:tblPr>
        <w:tblStyle w:val="a9"/>
        <w:tblW w:w="10349" w:type="dxa"/>
        <w:tblInd w:w="-743" w:type="dxa"/>
        <w:tblLook w:val="04A0" w:firstRow="1" w:lastRow="0" w:firstColumn="1" w:lastColumn="0" w:noHBand="0" w:noVBand="1"/>
      </w:tblPr>
      <w:tblGrid>
        <w:gridCol w:w="622"/>
        <w:gridCol w:w="4624"/>
        <w:gridCol w:w="1842"/>
        <w:gridCol w:w="1148"/>
        <w:gridCol w:w="2113"/>
      </w:tblGrid>
      <w:tr w:rsidR="00DE3917" w:rsidRPr="00973634" w:rsidTr="005229DF">
        <w:tc>
          <w:tcPr>
            <w:tcW w:w="622" w:type="dxa"/>
          </w:tcPr>
          <w:p w:rsidR="00DE3917" w:rsidRPr="00973634" w:rsidRDefault="00DE3917" w:rsidP="00DE3917">
            <w:pPr>
              <w:jc w:val="center"/>
              <w:rPr>
                <w:b/>
                <w:szCs w:val="22"/>
              </w:rPr>
            </w:pPr>
            <w:r w:rsidRPr="00973634">
              <w:rPr>
                <w:b/>
                <w:szCs w:val="22"/>
              </w:rPr>
              <w:t>№</w:t>
            </w:r>
          </w:p>
        </w:tc>
        <w:tc>
          <w:tcPr>
            <w:tcW w:w="4624" w:type="dxa"/>
          </w:tcPr>
          <w:p w:rsidR="00DE3917" w:rsidRPr="00973634" w:rsidRDefault="00DE3917" w:rsidP="00DE3917">
            <w:pPr>
              <w:jc w:val="center"/>
              <w:rPr>
                <w:b/>
                <w:szCs w:val="22"/>
              </w:rPr>
            </w:pPr>
            <w:r w:rsidRPr="00973634">
              <w:rPr>
                <w:b/>
                <w:szCs w:val="22"/>
              </w:rPr>
              <w:t>ФИО</w:t>
            </w:r>
          </w:p>
        </w:tc>
        <w:tc>
          <w:tcPr>
            <w:tcW w:w="1842" w:type="dxa"/>
          </w:tcPr>
          <w:p w:rsidR="00DE3917" w:rsidRPr="00973634" w:rsidRDefault="00DE3917" w:rsidP="00DE3917">
            <w:pPr>
              <w:jc w:val="center"/>
              <w:rPr>
                <w:b/>
                <w:szCs w:val="22"/>
              </w:rPr>
            </w:pPr>
            <w:r w:rsidRPr="00973634">
              <w:rPr>
                <w:b/>
                <w:szCs w:val="22"/>
              </w:rPr>
              <w:t>Должность</w:t>
            </w:r>
          </w:p>
        </w:tc>
        <w:tc>
          <w:tcPr>
            <w:tcW w:w="1148" w:type="dxa"/>
          </w:tcPr>
          <w:p w:rsidR="00DE3917" w:rsidRPr="00973634" w:rsidRDefault="00DE3917" w:rsidP="00DE3917">
            <w:pPr>
              <w:jc w:val="center"/>
              <w:rPr>
                <w:b/>
                <w:szCs w:val="22"/>
              </w:rPr>
            </w:pPr>
            <w:r w:rsidRPr="00973634">
              <w:rPr>
                <w:b/>
                <w:szCs w:val="22"/>
              </w:rPr>
              <w:t>Дата</w:t>
            </w:r>
          </w:p>
        </w:tc>
        <w:tc>
          <w:tcPr>
            <w:tcW w:w="2113" w:type="dxa"/>
          </w:tcPr>
          <w:p w:rsidR="00DE3917" w:rsidRPr="00973634" w:rsidRDefault="00DE3917" w:rsidP="00DE3917">
            <w:pPr>
              <w:jc w:val="center"/>
              <w:rPr>
                <w:b/>
                <w:szCs w:val="22"/>
              </w:rPr>
            </w:pPr>
            <w:r w:rsidRPr="00973634">
              <w:rPr>
                <w:b/>
                <w:szCs w:val="22"/>
              </w:rPr>
              <w:t>Подпись</w:t>
            </w:r>
          </w:p>
        </w:tc>
      </w:tr>
      <w:tr w:rsidR="00DE3917" w:rsidRPr="00973634" w:rsidTr="005229DF">
        <w:tc>
          <w:tcPr>
            <w:tcW w:w="622" w:type="dxa"/>
          </w:tcPr>
          <w:p w:rsidR="00DE3917" w:rsidRPr="0097363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973634" w:rsidTr="005229DF">
        <w:tc>
          <w:tcPr>
            <w:tcW w:w="622" w:type="dxa"/>
          </w:tcPr>
          <w:p w:rsidR="00DE3917" w:rsidRPr="0097363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973634" w:rsidTr="005229DF">
        <w:tc>
          <w:tcPr>
            <w:tcW w:w="622" w:type="dxa"/>
          </w:tcPr>
          <w:p w:rsidR="00DE3917" w:rsidRPr="0097363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973634" w:rsidTr="005229DF">
        <w:tc>
          <w:tcPr>
            <w:tcW w:w="622" w:type="dxa"/>
          </w:tcPr>
          <w:p w:rsidR="00DE3917" w:rsidRPr="0097363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973634" w:rsidTr="005229DF">
        <w:tc>
          <w:tcPr>
            <w:tcW w:w="622" w:type="dxa"/>
          </w:tcPr>
          <w:p w:rsidR="00DE3917" w:rsidRPr="0097363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973634" w:rsidTr="005229DF">
        <w:tc>
          <w:tcPr>
            <w:tcW w:w="622" w:type="dxa"/>
          </w:tcPr>
          <w:p w:rsidR="00DE3917" w:rsidRPr="0097363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</w:tr>
      <w:tr w:rsidR="00DE3917" w:rsidRPr="00973634" w:rsidTr="005229DF">
        <w:tc>
          <w:tcPr>
            <w:tcW w:w="622" w:type="dxa"/>
          </w:tcPr>
          <w:p w:rsidR="00DE3917" w:rsidRPr="00973634" w:rsidRDefault="00DE3917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DE3917" w:rsidRPr="00973634" w:rsidRDefault="00DE3917" w:rsidP="00F85347">
            <w:pPr>
              <w:spacing w:line="360" w:lineRule="auto"/>
              <w:rPr>
                <w:szCs w:val="22"/>
                <w:lang w:val="en-US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  <w:tr w:rsidR="00F32AA9" w:rsidRPr="00973634" w:rsidTr="005229DF">
        <w:tc>
          <w:tcPr>
            <w:tcW w:w="622" w:type="dxa"/>
          </w:tcPr>
          <w:p w:rsidR="00F32AA9" w:rsidRPr="00973634" w:rsidRDefault="00F32AA9" w:rsidP="00DE3917">
            <w:pPr>
              <w:pStyle w:val="aa"/>
              <w:numPr>
                <w:ilvl w:val="0"/>
                <w:numId w:val="4"/>
              </w:numPr>
              <w:ind w:left="142" w:firstLine="0"/>
              <w:rPr>
                <w:szCs w:val="22"/>
              </w:rPr>
            </w:pPr>
          </w:p>
        </w:tc>
        <w:tc>
          <w:tcPr>
            <w:tcW w:w="4624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842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1148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  <w:tc>
          <w:tcPr>
            <w:tcW w:w="2113" w:type="dxa"/>
          </w:tcPr>
          <w:p w:rsidR="00F32AA9" w:rsidRPr="00973634" w:rsidRDefault="00F32AA9" w:rsidP="00F85347">
            <w:pPr>
              <w:spacing w:line="360" w:lineRule="auto"/>
              <w:rPr>
                <w:szCs w:val="22"/>
              </w:rPr>
            </w:pPr>
          </w:p>
        </w:tc>
      </w:tr>
    </w:tbl>
    <w:p w:rsidR="00DE3917" w:rsidRPr="00973634" w:rsidRDefault="00DE3917" w:rsidP="00A364E9">
      <w:pPr>
        <w:rPr>
          <w:sz w:val="22"/>
          <w:szCs w:val="22"/>
        </w:rPr>
      </w:pPr>
    </w:p>
    <w:sectPr w:rsidR="00DE3917" w:rsidRPr="00973634" w:rsidSect="00151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284" w:left="1800" w:header="568" w:footer="2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C3" w:rsidRDefault="000205C3" w:rsidP="00A364E9">
      <w:r>
        <w:separator/>
      </w:r>
    </w:p>
  </w:endnote>
  <w:endnote w:type="continuationSeparator" w:id="0">
    <w:p w:rsidR="000205C3" w:rsidRDefault="000205C3" w:rsidP="00A3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8" w:rsidRDefault="00FD25C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8" w:rsidRDefault="00FD25C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8" w:rsidRDefault="00FD25C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C3" w:rsidRDefault="000205C3" w:rsidP="00A364E9">
      <w:r>
        <w:separator/>
      </w:r>
    </w:p>
  </w:footnote>
  <w:footnote w:type="continuationSeparator" w:id="0">
    <w:p w:rsidR="000205C3" w:rsidRDefault="000205C3" w:rsidP="00A36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8" w:rsidRDefault="00FD25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"/>
      <w:tblW w:w="10349" w:type="dxa"/>
      <w:tblInd w:w="-743" w:type="dxa"/>
      <w:tblLook w:val="04A0" w:firstRow="1" w:lastRow="0" w:firstColumn="1" w:lastColumn="0" w:noHBand="0" w:noVBand="1"/>
    </w:tblPr>
    <w:tblGrid>
      <w:gridCol w:w="1593"/>
      <w:gridCol w:w="846"/>
      <w:gridCol w:w="567"/>
      <w:gridCol w:w="1276"/>
      <w:gridCol w:w="709"/>
      <w:gridCol w:w="1559"/>
      <w:gridCol w:w="1118"/>
      <w:gridCol w:w="770"/>
      <w:gridCol w:w="1060"/>
      <w:gridCol w:w="851"/>
    </w:tblGrid>
    <w:tr w:rsidR="00F65158" w:rsidRPr="00170ABD" w:rsidTr="00F65158">
      <w:tc>
        <w:tcPr>
          <w:tcW w:w="1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rPr>
              <w:sz w:val="16"/>
              <w:szCs w:val="16"/>
            </w:rPr>
          </w:pPr>
          <w:r w:rsidRPr="00170ABD">
            <w:rPr>
              <w:sz w:val="16"/>
              <w:szCs w:val="16"/>
            </w:rPr>
            <w:t xml:space="preserve">Тип </w:t>
          </w:r>
        </w:p>
      </w:tc>
      <w:tc>
        <w:tcPr>
          <w:tcW w:w="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rPr>
              <w:b/>
              <w:sz w:val="20"/>
            </w:rPr>
          </w:pPr>
          <w:r>
            <w:rPr>
              <w:b/>
              <w:sz w:val="20"/>
            </w:rPr>
            <w:t>СОП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rPr>
              <w:sz w:val="24"/>
            </w:rPr>
          </w:pPr>
          <w:r w:rsidRPr="00170ABD">
            <w:rPr>
              <w:sz w:val="16"/>
              <w:szCs w:val="16"/>
            </w:rPr>
            <w:t>Код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rPr>
              <w:sz w:val="20"/>
            </w:rPr>
          </w:pPr>
          <w:r w:rsidRPr="00170ABD">
            <w:rPr>
              <w:sz w:val="20"/>
            </w:rPr>
            <w:t>ББН-</w:t>
          </w:r>
          <w:r w:rsidRPr="00170ABD">
            <w:rPr>
              <w:sz w:val="20"/>
              <w:lang w:val="en-US"/>
            </w:rPr>
            <w:t>VIII/01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rPr>
              <w:sz w:val="16"/>
              <w:szCs w:val="16"/>
            </w:rPr>
          </w:pPr>
          <w:r w:rsidRPr="00170ABD">
            <w:rPr>
              <w:sz w:val="16"/>
              <w:szCs w:val="16"/>
            </w:rPr>
            <w:t>Номер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E93936" w:rsidP="002D064A">
          <w:pPr>
            <w:rPr>
              <w:b/>
              <w:sz w:val="20"/>
            </w:rPr>
          </w:pPr>
          <w:r>
            <w:rPr>
              <w:b/>
              <w:sz w:val="20"/>
            </w:rPr>
            <w:t>МЕД-К3/5</w:t>
          </w:r>
        </w:p>
      </w:tc>
      <w:tc>
        <w:tcPr>
          <w:tcW w:w="1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tabs>
              <w:tab w:val="center" w:pos="8177"/>
            </w:tabs>
            <w:rPr>
              <w:sz w:val="16"/>
              <w:szCs w:val="16"/>
            </w:rPr>
          </w:pPr>
          <w:r w:rsidRPr="00170ABD">
            <w:rPr>
              <w:sz w:val="16"/>
              <w:szCs w:val="16"/>
            </w:rPr>
            <w:t>Редакция</w:t>
          </w:r>
        </w:p>
      </w:tc>
      <w:tc>
        <w:tcPr>
          <w:tcW w:w="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tabs>
              <w:tab w:val="center" w:pos="8177"/>
            </w:tabs>
            <w:rPr>
              <w:b/>
              <w:sz w:val="20"/>
            </w:rPr>
          </w:pPr>
          <w:r>
            <w:rPr>
              <w:b/>
              <w:sz w:val="20"/>
            </w:rPr>
            <w:t>001</w:t>
          </w:r>
        </w:p>
      </w:tc>
      <w:tc>
        <w:tcPr>
          <w:tcW w:w="10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sdt>
          <w:sdtPr>
            <w:rPr>
              <w:sz w:val="16"/>
              <w:szCs w:val="16"/>
            </w:rPr>
            <w:id w:val="-843245557"/>
            <w:docPartObj>
              <w:docPartGallery w:val="Page Numbers (Top of Page)"/>
              <w:docPartUnique/>
            </w:docPartObj>
          </w:sdtPr>
          <w:sdtEndPr/>
          <w:sdtContent>
            <w:p w:rsidR="00F65158" w:rsidRPr="00170ABD" w:rsidRDefault="00F65158" w:rsidP="002D064A">
              <w:pPr>
                <w:jc w:val="center"/>
                <w:rPr>
                  <w:sz w:val="16"/>
                  <w:szCs w:val="16"/>
                </w:rPr>
              </w:pPr>
              <w:r w:rsidRPr="00170ABD">
                <w:rPr>
                  <w:sz w:val="16"/>
                  <w:szCs w:val="16"/>
                </w:rPr>
                <w:t>Страница</w:t>
              </w:r>
            </w:p>
            <w:p w:rsidR="00F65158" w:rsidRPr="00170ABD" w:rsidRDefault="00F12BA3" w:rsidP="002D064A">
              <w:pPr>
                <w:jc w:val="center"/>
                <w:rPr>
                  <w:sz w:val="16"/>
                  <w:szCs w:val="16"/>
                </w:rPr>
              </w:pPr>
              <w:r w:rsidRPr="00170ABD">
                <w:rPr>
                  <w:sz w:val="16"/>
                  <w:szCs w:val="16"/>
                </w:rPr>
                <w:fldChar w:fldCharType="begin"/>
              </w:r>
              <w:r w:rsidR="00F65158" w:rsidRPr="00170ABD">
                <w:rPr>
                  <w:sz w:val="16"/>
                  <w:szCs w:val="16"/>
                </w:rPr>
                <w:instrText xml:space="preserve"> PAGE </w:instrText>
              </w:r>
              <w:r w:rsidRPr="00170ABD">
                <w:rPr>
                  <w:sz w:val="16"/>
                  <w:szCs w:val="16"/>
                </w:rPr>
                <w:fldChar w:fldCharType="separate"/>
              </w:r>
              <w:r w:rsidR="00FD25C8">
                <w:rPr>
                  <w:noProof/>
                  <w:sz w:val="16"/>
                  <w:szCs w:val="16"/>
                </w:rPr>
                <w:t>2</w:t>
              </w:r>
              <w:r w:rsidRPr="00170ABD">
                <w:rPr>
                  <w:sz w:val="16"/>
                  <w:szCs w:val="16"/>
                </w:rPr>
                <w:fldChar w:fldCharType="end"/>
              </w:r>
              <w:r w:rsidR="00F65158" w:rsidRPr="00170ABD">
                <w:rPr>
                  <w:sz w:val="16"/>
                  <w:szCs w:val="16"/>
                </w:rPr>
                <w:t xml:space="preserve"> из </w:t>
              </w:r>
              <w:r w:rsidRPr="00170ABD">
                <w:rPr>
                  <w:sz w:val="16"/>
                  <w:szCs w:val="16"/>
                </w:rPr>
                <w:fldChar w:fldCharType="begin"/>
              </w:r>
              <w:r w:rsidR="00F65158" w:rsidRPr="00170ABD">
                <w:rPr>
                  <w:sz w:val="16"/>
                  <w:szCs w:val="16"/>
                </w:rPr>
                <w:instrText xml:space="preserve"> NUMPAGES  </w:instrText>
              </w:r>
              <w:r w:rsidRPr="00170ABD">
                <w:rPr>
                  <w:sz w:val="16"/>
                  <w:szCs w:val="16"/>
                </w:rPr>
                <w:fldChar w:fldCharType="separate"/>
              </w:r>
              <w:r w:rsidR="00FD25C8">
                <w:rPr>
                  <w:noProof/>
                  <w:sz w:val="16"/>
                  <w:szCs w:val="16"/>
                </w:rPr>
                <w:t>5</w:t>
              </w:r>
              <w:r w:rsidRPr="00170ABD">
                <w:rPr>
                  <w:sz w:val="16"/>
                  <w:szCs w:val="16"/>
                </w:rPr>
                <w:fldChar w:fldCharType="end"/>
              </w:r>
            </w:p>
          </w:sdtContent>
        </w:sdt>
      </w:tc>
      <w:tc>
        <w:tcPr>
          <w:tcW w:w="85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65158" w:rsidRPr="00170ABD" w:rsidRDefault="00F65158" w:rsidP="002D064A">
          <w:pPr>
            <w:rPr>
              <w:sz w:val="24"/>
            </w:rPr>
          </w:pPr>
          <w:r w:rsidRPr="00170ABD">
            <w:rPr>
              <w:noProof/>
              <w:lang w:eastAsia="ru-R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4445</wp:posOffset>
                </wp:positionV>
                <wp:extent cx="457200" cy="595265"/>
                <wp:effectExtent l="0" t="0" r="0" b="0"/>
                <wp:wrapNone/>
                <wp:docPr id="22" name="Рисунок 1" descr="BBN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BBN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407" cy="595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F65158" w:rsidRPr="00170ABD" w:rsidTr="00FD25C8">
      <w:trPr>
        <w:trHeight w:val="749"/>
      </w:trPr>
      <w:tc>
        <w:tcPr>
          <w:tcW w:w="15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tabs>
              <w:tab w:val="right" w:pos="12933"/>
            </w:tabs>
            <w:rPr>
              <w:sz w:val="16"/>
              <w:szCs w:val="16"/>
            </w:rPr>
          </w:pPr>
          <w:r w:rsidRPr="00170ABD">
            <w:rPr>
              <w:sz w:val="16"/>
              <w:szCs w:val="16"/>
            </w:rPr>
            <w:t>Название</w:t>
          </w:r>
        </w:p>
      </w:tc>
      <w:tc>
        <w:tcPr>
          <w:tcW w:w="6845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C522DD" w:rsidRDefault="00FD25C8" w:rsidP="002D064A">
          <w:pPr>
            <w:ind w:right="-108"/>
            <w:rPr>
              <w:b/>
              <w:sz w:val="20"/>
              <w:lang w:val="kk-KZ"/>
            </w:rPr>
          </w:pPr>
          <w:r>
            <w:rPr>
              <w:rFonts w:eastAsia="Calibri"/>
              <w:b/>
              <w:sz w:val="20"/>
            </w:rPr>
            <w:t>ПРАВИЛА ПЕРЕВОДА ПАЦИЕНТА МЕЖДУ ОТДЕЛЕНИЯМИ</w:t>
          </w:r>
        </w:p>
      </w:tc>
      <w:tc>
        <w:tcPr>
          <w:tcW w:w="10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rPr>
              <w:sz w:val="16"/>
              <w:szCs w:val="16"/>
            </w:rPr>
          </w:pPr>
        </w:p>
      </w:tc>
      <w:tc>
        <w:tcPr>
          <w:tcW w:w="85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65158" w:rsidRPr="00170ABD" w:rsidRDefault="00F65158" w:rsidP="002D064A">
          <w:pPr>
            <w:rPr>
              <w:sz w:val="24"/>
            </w:rPr>
          </w:pPr>
        </w:p>
      </w:tc>
    </w:tr>
  </w:tbl>
  <w:p w:rsidR="00686848" w:rsidRPr="00A65688" w:rsidRDefault="00686848" w:rsidP="00DE3917">
    <w:pPr>
      <w:pStyle w:val="a3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653"/>
      <w:tblW w:w="103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1531"/>
      <w:gridCol w:w="1520"/>
      <w:gridCol w:w="11"/>
      <w:gridCol w:w="1531"/>
      <w:gridCol w:w="1255"/>
      <w:gridCol w:w="276"/>
      <w:gridCol w:w="1888"/>
      <w:gridCol w:w="850"/>
    </w:tblGrid>
    <w:tr w:rsidR="00AC02C5" w:rsidRPr="00FC1372" w:rsidTr="00DB784F">
      <w:trPr>
        <w:trHeight w:val="422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b/>
              <w:sz w:val="20"/>
              <w:lang w:val="kk-KZ"/>
            </w:rPr>
          </w:pPr>
          <w:r w:rsidRPr="00FC1372">
            <w:rPr>
              <w:rFonts w:eastAsia="Calibri"/>
              <w:b/>
              <w:sz w:val="20"/>
              <w:lang w:val="kk-KZ"/>
            </w:rPr>
            <w:t>Тип документа</w:t>
          </w:r>
        </w:p>
      </w:tc>
      <w:tc>
        <w:tcPr>
          <w:tcW w:w="8012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3271C6" w:rsidRDefault="003271C6" w:rsidP="00DB784F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СТАНДАРТ ОПЕРАЦИОННЫХ ПРОЦЕДУР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sdt>
          <w:sdtPr>
            <w:rPr>
              <w:sz w:val="20"/>
            </w:rPr>
            <w:id w:val="26195413"/>
            <w:docPartObj>
              <w:docPartGallery w:val="Page Numbers (Top of Page)"/>
              <w:docPartUnique/>
            </w:docPartObj>
          </w:sdtPr>
          <w:sdtEndPr/>
          <w:sdtContent>
            <w:p w:rsidR="00AC02C5" w:rsidRPr="00FC1372" w:rsidRDefault="00AC02C5" w:rsidP="00DB784F">
              <w:pPr>
                <w:ind w:left="-108" w:right="-108"/>
                <w:jc w:val="center"/>
                <w:rPr>
                  <w:sz w:val="20"/>
                </w:rPr>
              </w:pPr>
              <w:r w:rsidRPr="00FC1372">
                <w:rPr>
                  <w:sz w:val="20"/>
                </w:rPr>
                <w:t xml:space="preserve">Страница </w:t>
              </w:r>
            </w:p>
            <w:p w:rsidR="00AC02C5" w:rsidRPr="00FC1372" w:rsidRDefault="00F12BA3" w:rsidP="00DB784F">
              <w:pPr>
                <w:ind w:left="-108" w:right="-108"/>
                <w:jc w:val="center"/>
                <w:rPr>
                  <w:sz w:val="20"/>
                </w:rPr>
              </w:pPr>
              <w:r w:rsidRPr="00FC1372">
                <w:rPr>
                  <w:sz w:val="20"/>
                </w:rPr>
                <w:fldChar w:fldCharType="begin"/>
              </w:r>
              <w:r w:rsidR="00AC02C5" w:rsidRPr="00FC1372">
                <w:rPr>
                  <w:sz w:val="20"/>
                </w:rPr>
                <w:instrText xml:space="preserve"> PAGE </w:instrText>
              </w:r>
              <w:r w:rsidRPr="00FC1372">
                <w:rPr>
                  <w:sz w:val="20"/>
                </w:rPr>
                <w:fldChar w:fldCharType="separate"/>
              </w:r>
              <w:r w:rsidR="00FD25C8">
                <w:rPr>
                  <w:noProof/>
                  <w:sz w:val="20"/>
                </w:rPr>
                <w:t>1</w:t>
              </w:r>
              <w:r w:rsidRPr="00FC1372">
                <w:rPr>
                  <w:sz w:val="20"/>
                </w:rPr>
                <w:fldChar w:fldCharType="end"/>
              </w:r>
              <w:r w:rsidR="00AC02C5" w:rsidRPr="00FC1372">
                <w:rPr>
                  <w:sz w:val="20"/>
                </w:rPr>
                <w:t xml:space="preserve"> из </w:t>
              </w:r>
              <w:r w:rsidRPr="00FC1372">
                <w:rPr>
                  <w:sz w:val="20"/>
                </w:rPr>
                <w:fldChar w:fldCharType="begin"/>
              </w:r>
              <w:r w:rsidR="00AC02C5" w:rsidRPr="00FC1372">
                <w:rPr>
                  <w:sz w:val="20"/>
                </w:rPr>
                <w:instrText xml:space="preserve"> NUMPAGES  </w:instrText>
              </w:r>
              <w:r w:rsidRPr="00FC1372">
                <w:rPr>
                  <w:sz w:val="20"/>
                </w:rPr>
                <w:fldChar w:fldCharType="separate"/>
              </w:r>
              <w:r w:rsidR="00FD25C8">
                <w:rPr>
                  <w:noProof/>
                  <w:sz w:val="20"/>
                </w:rPr>
                <w:t>5</w:t>
              </w:r>
              <w:r w:rsidRPr="00FC1372">
                <w:rPr>
                  <w:sz w:val="20"/>
                </w:rPr>
                <w:fldChar w:fldCharType="end"/>
              </w:r>
            </w:p>
          </w:sdtContent>
        </w:sdt>
      </w:tc>
    </w:tr>
    <w:tr w:rsidR="00AC02C5" w:rsidRPr="00FC1372" w:rsidTr="003271C6">
      <w:trPr>
        <w:trHeight w:val="506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b/>
              <w:sz w:val="20"/>
              <w:lang w:val="kk-KZ"/>
            </w:rPr>
          </w:pPr>
          <w:r w:rsidRPr="00FC1372">
            <w:rPr>
              <w:rFonts w:eastAsia="Calibri"/>
              <w:b/>
              <w:sz w:val="20"/>
              <w:lang w:val="kk-KZ"/>
            </w:rPr>
            <w:t>Назначение</w:t>
          </w:r>
        </w:p>
      </w:tc>
      <w:tc>
        <w:tcPr>
          <w:tcW w:w="8012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3271C6" w:rsidRDefault="00F65158" w:rsidP="00DB784F">
          <w:pPr>
            <w:rPr>
              <w:rFonts w:eastAsia="Calibri"/>
              <w:b/>
              <w:sz w:val="20"/>
            </w:rPr>
          </w:pPr>
          <w:r w:rsidRPr="0099608D">
            <w:rPr>
              <w:rFonts w:eastAsia="Calibri"/>
              <w:sz w:val="20"/>
            </w:rPr>
            <w:t>Все медицинские центры и отделения ТОО «</w:t>
          </w:r>
          <w:r w:rsidRPr="0099608D">
            <w:rPr>
              <w:rFonts w:eastAsia="Calibri"/>
              <w:sz w:val="20"/>
              <w:lang w:val="en-US"/>
            </w:rPr>
            <w:t>B</w:t>
          </w:r>
          <w:r w:rsidRPr="0099608D">
            <w:rPr>
              <w:rFonts w:eastAsia="Calibri"/>
              <w:sz w:val="20"/>
            </w:rPr>
            <w:t>.</w:t>
          </w:r>
          <w:r w:rsidRPr="0099608D">
            <w:rPr>
              <w:rFonts w:eastAsia="Calibri"/>
              <w:sz w:val="20"/>
              <w:lang w:val="en-US"/>
            </w:rPr>
            <w:t>B</w:t>
          </w:r>
          <w:r w:rsidRPr="0099608D">
            <w:rPr>
              <w:rFonts w:eastAsia="Calibri"/>
              <w:sz w:val="20"/>
            </w:rPr>
            <w:t>.</w:t>
          </w:r>
          <w:r w:rsidRPr="0099608D">
            <w:rPr>
              <w:rFonts w:eastAsia="Calibri"/>
              <w:sz w:val="20"/>
              <w:lang w:val="en-US"/>
            </w:rPr>
            <w:t>NURA</w:t>
          </w:r>
          <w:r w:rsidRPr="0099608D">
            <w:rPr>
              <w:rFonts w:eastAsia="Calibri"/>
              <w:sz w:val="20"/>
            </w:rPr>
            <w:t>» в Республике Казахстан</w:t>
          </w:r>
        </w:p>
      </w:tc>
      <w:tc>
        <w:tcPr>
          <w:tcW w:w="85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sz w:val="20"/>
            </w:rPr>
          </w:pPr>
          <w:r w:rsidRPr="00FC1372">
            <w:rPr>
              <w:rFonts w:eastAsia="Calibri"/>
              <w:noProof/>
              <w:sz w:val="20"/>
              <w:lang w:eastAsia="ru-R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-15875</wp:posOffset>
                </wp:positionV>
                <wp:extent cx="422910" cy="612140"/>
                <wp:effectExtent l="0" t="0" r="0" b="0"/>
                <wp:wrapNone/>
                <wp:docPr id="5" name="Рисунок 1" descr="Y:\++Азия\CENTERS\BBNURA\LOGO\BBN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++Азия\CENTERS\BBNURA\LOGO\BBNU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C02C5" w:rsidRPr="00FC1372" w:rsidTr="00DB784F">
      <w:trPr>
        <w:trHeight w:val="291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b/>
              <w:sz w:val="20"/>
              <w:lang w:val="kk-KZ"/>
            </w:rPr>
          </w:pPr>
          <w:r w:rsidRPr="00FC1372">
            <w:rPr>
              <w:rFonts w:eastAsia="Calibri"/>
              <w:b/>
              <w:sz w:val="20"/>
              <w:lang w:val="kk-KZ"/>
            </w:rPr>
            <w:t>Код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F65158" w:rsidP="00DB784F">
          <w:pPr>
            <w:rPr>
              <w:rFonts w:eastAsia="Calibri"/>
              <w:sz w:val="20"/>
            </w:rPr>
          </w:pPr>
          <w:r>
            <w:rPr>
              <w:rFonts w:eastAsia="Calibri"/>
              <w:sz w:val="20"/>
            </w:rPr>
            <w:t>ББН-</w:t>
          </w:r>
          <w:r>
            <w:rPr>
              <w:rFonts w:eastAsia="Calibri"/>
              <w:sz w:val="20"/>
              <w:lang w:val="en-US"/>
            </w:rPr>
            <w:t>VIII/01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b/>
              <w:sz w:val="20"/>
            </w:rPr>
          </w:pPr>
          <w:r w:rsidRPr="00FC1372">
            <w:rPr>
              <w:rFonts w:eastAsia="Calibri"/>
              <w:b/>
              <w:sz w:val="20"/>
            </w:rPr>
            <w:t>Номер</w:t>
          </w:r>
        </w:p>
      </w:tc>
      <w:tc>
        <w:tcPr>
          <w:tcW w:w="15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E93936" w:rsidP="00E93936">
          <w:pPr>
            <w:rPr>
              <w:rFonts w:eastAsia="Calibri"/>
              <w:b/>
              <w:sz w:val="20"/>
            </w:rPr>
          </w:pPr>
          <w:r>
            <w:rPr>
              <w:b/>
              <w:sz w:val="20"/>
            </w:rPr>
            <w:t>МЕД-К3/5</w:t>
          </w:r>
        </w:p>
      </w:tc>
      <w:tc>
        <w:tcPr>
          <w:tcW w:w="153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b/>
              <w:sz w:val="20"/>
            </w:rPr>
          </w:pPr>
          <w:r w:rsidRPr="00FC1372">
            <w:rPr>
              <w:rFonts w:eastAsia="Calibri"/>
              <w:b/>
              <w:sz w:val="20"/>
            </w:rPr>
            <w:t>Редакция</w:t>
          </w:r>
        </w:p>
      </w:tc>
      <w:tc>
        <w:tcPr>
          <w:tcW w:w="18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F65158" w:rsidP="00DB784F">
          <w:pPr>
            <w:rPr>
              <w:rFonts w:eastAsia="Calibri"/>
              <w:b/>
              <w:sz w:val="20"/>
            </w:rPr>
          </w:pPr>
          <w:r>
            <w:rPr>
              <w:rFonts w:eastAsia="Calibri"/>
              <w:b/>
              <w:sz w:val="20"/>
            </w:rPr>
            <w:t>001</w:t>
          </w:r>
        </w:p>
      </w:tc>
      <w:tc>
        <w:tcPr>
          <w:tcW w:w="850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sz w:val="20"/>
            </w:rPr>
          </w:pPr>
        </w:p>
      </w:tc>
    </w:tr>
    <w:tr w:rsidR="00AC02C5" w:rsidRPr="00FC1372" w:rsidTr="00DB784F">
      <w:trPr>
        <w:trHeight w:val="353"/>
      </w:trPr>
      <w:tc>
        <w:tcPr>
          <w:tcW w:w="14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b/>
              <w:sz w:val="20"/>
            </w:rPr>
          </w:pPr>
          <w:r w:rsidRPr="00FC1372">
            <w:rPr>
              <w:rFonts w:eastAsia="Calibri"/>
              <w:b/>
              <w:sz w:val="20"/>
              <w:lang w:val="kk-KZ"/>
            </w:rPr>
            <w:t>Название</w:t>
          </w:r>
        </w:p>
      </w:tc>
      <w:tc>
        <w:tcPr>
          <w:tcW w:w="8012" w:type="dxa"/>
          <w:gridSpan w:val="7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FD25C8" w:rsidP="000E18D0">
          <w:pPr>
            <w:ind w:right="-108"/>
            <w:rPr>
              <w:sz w:val="20"/>
            </w:rPr>
          </w:pPr>
          <w:r>
            <w:rPr>
              <w:rFonts w:eastAsia="Calibri"/>
              <w:b/>
              <w:sz w:val="20"/>
            </w:rPr>
            <w:t>ПРАВИЛА ПЕРЕВОДА ПАЦИЕНТА МЕЖДУ ОТДЕЛЕНИЯМИ</w:t>
          </w:r>
        </w:p>
      </w:tc>
      <w:tc>
        <w:tcPr>
          <w:tcW w:w="85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sz w:val="20"/>
            </w:rPr>
          </w:pPr>
        </w:p>
      </w:tc>
    </w:tr>
    <w:tr w:rsidR="00AC02C5" w:rsidRPr="00FC1372" w:rsidTr="00DB784F">
      <w:trPr>
        <w:trHeight w:val="271"/>
      </w:trPr>
      <w:tc>
        <w:tcPr>
          <w:tcW w:w="145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rPr>
              <w:rFonts w:eastAsia="Calibri"/>
              <w:b/>
              <w:sz w:val="20"/>
            </w:rPr>
          </w:pPr>
          <w:r w:rsidRPr="00FC1372">
            <w:rPr>
              <w:rFonts w:eastAsia="Calibri"/>
              <w:b/>
              <w:sz w:val="20"/>
            </w:rPr>
            <w:t>Разработано</w:t>
          </w: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3271C6" w:rsidP="00DB784F">
          <w:pPr>
            <w:rPr>
              <w:sz w:val="20"/>
            </w:rPr>
          </w:pPr>
          <w:r>
            <w:rPr>
              <w:sz w:val="20"/>
            </w:rPr>
            <w:t>Куратор региона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3271C6" w:rsidP="00DB784F">
          <w:pPr>
            <w:rPr>
              <w:sz w:val="20"/>
            </w:rPr>
          </w:pPr>
          <w:r>
            <w:rPr>
              <w:sz w:val="20"/>
            </w:rPr>
            <w:t>Отыншиев Б.Н.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C02C5" w:rsidRPr="00FC1372" w:rsidRDefault="00AC02C5" w:rsidP="00DB784F">
          <w:pPr>
            <w:jc w:val="center"/>
            <w:rPr>
              <w:rFonts w:eastAsia="Calibri"/>
              <w:sz w:val="20"/>
            </w:rPr>
          </w:pPr>
        </w:p>
      </w:tc>
    </w:tr>
    <w:tr w:rsidR="003271C6" w:rsidRPr="00FC1372" w:rsidTr="00DB784F">
      <w:trPr>
        <w:trHeight w:val="286"/>
      </w:trPr>
      <w:tc>
        <w:tcPr>
          <w:tcW w:w="145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rFonts w:eastAsia="Calibri"/>
              <w:b/>
              <w:sz w:val="20"/>
            </w:rPr>
          </w:pPr>
          <w:r w:rsidRPr="00FC1372">
            <w:rPr>
              <w:rFonts w:eastAsia="Calibri"/>
              <w:b/>
              <w:sz w:val="20"/>
            </w:rPr>
            <w:t>Согласовано</w:t>
          </w: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Default="003271C6" w:rsidP="003271C6">
          <w:pPr>
            <w:rPr>
              <w:sz w:val="20"/>
            </w:rPr>
          </w:pPr>
          <w:r>
            <w:rPr>
              <w:sz w:val="20"/>
            </w:rPr>
            <w:t xml:space="preserve">Руководитель отдела </w:t>
          </w:r>
        </w:p>
        <w:p w:rsidR="003271C6" w:rsidRPr="00FC1372" w:rsidRDefault="003271C6" w:rsidP="003271C6">
          <w:pPr>
            <w:rPr>
              <w:sz w:val="20"/>
            </w:rPr>
          </w:pPr>
          <w:r>
            <w:rPr>
              <w:sz w:val="20"/>
            </w:rPr>
            <w:t>амбулаторного диализа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sz w:val="20"/>
            </w:rPr>
          </w:pPr>
          <w:r w:rsidRPr="00FC1372">
            <w:rPr>
              <w:sz w:val="20"/>
            </w:rPr>
            <w:t>Стародубов А.Ю.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rFonts w:eastAsia="Calibri"/>
              <w:b/>
              <w:sz w:val="20"/>
            </w:rPr>
          </w:pPr>
        </w:p>
      </w:tc>
    </w:tr>
    <w:tr w:rsidR="003271C6" w:rsidRPr="00FC1372" w:rsidTr="00DB784F">
      <w:trPr>
        <w:trHeight w:val="286"/>
      </w:trPr>
      <w:tc>
        <w:tcPr>
          <w:tcW w:w="145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rFonts w:eastAsia="Calibri"/>
              <w:b/>
              <w:sz w:val="20"/>
            </w:rPr>
          </w:pPr>
        </w:p>
      </w:tc>
      <w:tc>
        <w:tcPr>
          <w:tcW w:w="305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sz w:val="20"/>
            </w:rPr>
          </w:pPr>
          <w:r w:rsidRPr="00FC1372">
            <w:rPr>
              <w:sz w:val="20"/>
            </w:rPr>
            <w:t>Медицинский директор</w:t>
          </w:r>
        </w:p>
      </w:tc>
      <w:tc>
        <w:tcPr>
          <w:tcW w:w="279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sz w:val="20"/>
            </w:rPr>
          </w:pPr>
          <w:r w:rsidRPr="00FC1372">
            <w:rPr>
              <w:sz w:val="20"/>
            </w:rPr>
            <w:t>Канафина Ш.М.</w:t>
          </w:r>
        </w:p>
      </w:tc>
      <w:tc>
        <w:tcPr>
          <w:tcW w:w="301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rFonts w:eastAsia="Calibri"/>
              <w:b/>
              <w:sz w:val="20"/>
            </w:rPr>
          </w:pPr>
        </w:p>
      </w:tc>
    </w:tr>
    <w:tr w:rsidR="003271C6" w:rsidRPr="00FC1372" w:rsidTr="00DB784F">
      <w:trPr>
        <w:trHeight w:val="266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rFonts w:eastAsia="Calibri"/>
              <w:sz w:val="20"/>
            </w:rPr>
          </w:pPr>
          <w:r w:rsidRPr="00FC1372">
            <w:rPr>
              <w:rFonts w:eastAsia="Calibri"/>
              <w:b/>
              <w:sz w:val="20"/>
              <w:lang w:val="kk-KZ"/>
            </w:rPr>
            <w:t>Утверждено</w:t>
          </w:r>
        </w:p>
      </w:tc>
      <w:tc>
        <w:tcPr>
          <w:tcW w:w="8862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Pr="00FC1372" w:rsidRDefault="003271C6" w:rsidP="003271C6">
          <w:pPr>
            <w:rPr>
              <w:rFonts w:eastAsia="Calibri"/>
              <w:sz w:val="20"/>
            </w:rPr>
          </w:pPr>
          <w:r w:rsidRPr="00FC1372">
            <w:rPr>
              <w:rFonts w:eastAsia="Calibri"/>
              <w:noProof/>
              <w:sz w:val="20"/>
              <w:lang w:val="kk-KZ"/>
            </w:rPr>
            <w:t>Приказом</w:t>
          </w:r>
          <w:r>
            <w:rPr>
              <w:rFonts w:eastAsia="Calibri"/>
              <w:noProof/>
              <w:sz w:val="20"/>
            </w:rPr>
            <w:t xml:space="preserve"> Исполнительного</w:t>
          </w:r>
          <w:r w:rsidRPr="00FC1372">
            <w:rPr>
              <w:rFonts w:eastAsia="Calibri"/>
              <w:noProof/>
              <w:sz w:val="20"/>
              <w:lang w:val="kk-KZ"/>
            </w:rPr>
            <w:t xml:space="preserve"> директора  ТОО  «</w:t>
          </w:r>
          <w:r w:rsidRPr="00FC1372">
            <w:rPr>
              <w:rFonts w:eastAsia="Calibri"/>
              <w:noProof/>
              <w:sz w:val="20"/>
              <w:lang w:val="en-US"/>
            </w:rPr>
            <w:t>B</w:t>
          </w:r>
          <w:r w:rsidRPr="00FC1372">
            <w:rPr>
              <w:rFonts w:eastAsia="Calibri"/>
              <w:noProof/>
              <w:sz w:val="20"/>
            </w:rPr>
            <w:t>.</w:t>
          </w:r>
          <w:r w:rsidRPr="00FC1372">
            <w:rPr>
              <w:rFonts w:eastAsia="Calibri"/>
              <w:noProof/>
              <w:sz w:val="20"/>
              <w:lang w:val="en-US"/>
            </w:rPr>
            <w:t>B</w:t>
          </w:r>
          <w:r w:rsidRPr="00FC1372">
            <w:rPr>
              <w:rFonts w:eastAsia="Calibri"/>
              <w:noProof/>
              <w:sz w:val="20"/>
            </w:rPr>
            <w:t>.</w:t>
          </w:r>
          <w:r w:rsidRPr="00FC1372">
            <w:rPr>
              <w:rFonts w:eastAsia="Calibri"/>
              <w:noProof/>
              <w:sz w:val="20"/>
              <w:lang w:val="en-US"/>
            </w:rPr>
            <w:t>NURA</w:t>
          </w:r>
          <w:r>
            <w:rPr>
              <w:rFonts w:eastAsia="Calibri"/>
              <w:noProof/>
              <w:sz w:val="20"/>
              <w:lang w:val="kk-KZ"/>
            </w:rPr>
            <w:t xml:space="preserve">»  </w:t>
          </w:r>
          <w:r w:rsidR="00F65158" w:rsidRPr="00C522DD">
            <w:rPr>
              <w:rFonts w:eastAsia="Calibri"/>
              <w:noProof/>
              <w:sz w:val="20"/>
              <w:lang w:val="kk-KZ"/>
            </w:rPr>
            <w:t xml:space="preserve">№ </w:t>
          </w:r>
          <w:r w:rsidR="00F65158" w:rsidRPr="0077540C">
            <w:rPr>
              <w:rFonts w:eastAsia="Calibri"/>
              <w:noProof/>
              <w:sz w:val="20"/>
              <w:u w:val="single"/>
              <w:lang w:val="kk-KZ"/>
            </w:rPr>
            <w:t>_56</w:t>
          </w:r>
          <w:r w:rsidR="00F65158" w:rsidRPr="00C522DD">
            <w:rPr>
              <w:rFonts w:eastAsia="Calibri"/>
              <w:noProof/>
              <w:sz w:val="20"/>
              <w:lang w:val="kk-KZ"/>
            </w:rPr>
            <w:t>__от _</w:t>
          </w:r>
          <w:r w:rsidR="00F65158">
            <w:rPr>
              <w:rFonts w:eastAsia="Calibri"/>
              <w:noProof/>
              <w:sz w:val="20"/>
              <w:u w:val="single"/>
              <w:lang w:val="kk-KZ"/>
            </w:rPr>
            <w:t>15.07</w:t>
          </w:r>
          <w:r w:rsidR="00F65158" w:rsidRPr="0077540C">
            <w:rPr>
              <w:rFonts w:eastAsia="Calibri"/>
              <w:noProof/>
              <w:sz w:val="20"/>
              <w:u w:val="single"/>
              <w:lang w:val="kk-KZ"/>
            </w:rPr>
            <w:t>.2019 г</w:t>
          </w:r>
          <w:r w:rsidR="00F65158" w:rsidRPr="00C522DD">
            <w:rPr>
              <w:rFonts w:eastAsia="Calibri"/>
              <w:noProof/>
              <w:sz w:val="20"/>
              <w:lang w:val="kk-KZ"/>
            </w:rPr>
            <w:t>.</w:t>
          </w:r>
        </w:p>
      </w:tc>
    </w:tr>
    <w:tr w:rsidR="003271C6" w:rsidRPr="00A65688" w:rsidTr="00DB688A">
      <w:trPr>
        <w:trHeight w:val="132"/>
      </w:trPr>
      <w:tc>
        <w:tcPr>
          <w:tcW w:w="145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3271C6" w:rsidRPr="007D735C" w:rsidRDefault="003271C6" w:rsidP="003271C6">
          <w:pPr>
            <w:rPr>
              <w:b/>
              <w:sz w:val="28"/>
              <w:szCs w:val="28"/>
            </w:rPr>
          </w:pPr>
          <w:r>
            <w:rPr>
              <w:rFonts w:eastAsia="Calibri"/>
              <w:b/>
              <w:sz w:val="16"/>
              <w:szCs w:val="16"/>
              <w:lang w:val="kk-KZ"/>
            </w:rPr>
            <w:t>К внедрению с</w:t>
          </w:r>
        </w:p>
      </w:tc>
      <w:tc>
        <w:tcPr>
          <w:tcW w:w="8862" w:type="dxa"/>
          <w:gridSpan w:val="8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71C6" w:rsidRPr="006F0989" w:rsidRDefault="00F65158" w:rsidP="003271C6">
          <w:pPr>
            <w:rPr>
              <w:sz w:val="20"/>
            </w:rPr>
          </w:pPr>
          <w:r>
            <w:rPr>
              <w:sz w:val="20"/>
            </w:rPr>
            <w:t>01.08.2019 год.</w:t>
          </w:r>
        </w:p>
      </w:tc>
    </w:tr>
  </w:tbl>
  <w:p w:rsidR="00686848" w:rsidRPr="00A364E9" w:rsidRDefault="00686848" w:rsidP="00A364E9">
    <w:pPr>
      <w:pStyle w:val="a3"/>
      <w:rPr>
        <w:sz w:val="6"/>
        <w:szCs w:val="6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4DE"/>
    <w:multiLevelType w:val="hybridMultilevel"/>
    <w:tmpl w:val="EDCE7D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E7885"/>
    <w:multiLevelType w:val="hybridMultilevel"/>
    <w:tmpl w:val="FCA61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5A1"/>
    <w:multiLevelType w:val="hybridMultilevel"/>
    <w:tmpl w:val="3966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2F2E"/>
    <w:multiLevelType w:val="hybridMultilevel"/>
    <w:tmpl w:val="5D842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0A2A20EB"/>
    <w:multiLevelType w:val="hybridMultilevel"/>
    <w:tmpl w:val="FDD0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4203C"/>
    <w:multiLevelType w:val="hybridMultilevel"/>
    <w:tmpl w:val="B7246EF6"/>
    <w:lvl w:ilvl="0" w:tplc="5AC47348">
      <w:start w:val="4"/>
      <w:numFmt w:val="decimal"/>
      <w:lvlText w:val="%1"/>
      <w:lvlJc w:val="left"/>
      <w:pPr>
        <w:ind w:left="1677" w:hanging="354"/>
      </w:pPr>
      <w:rPr>
        <w:rFonts w:hint="default"/>
        <w:lang w:val="ru-RU" w:eastAsia="ru-RU" w:bidi="ru-RU"/>
      </w:rPr>
    </w:lvl>
    <w:lvl w:ilvl="1" w:tplc="F0C69C36">
      <w:numFmt w:val="none"/>
      <w:lvlText w:val=""/>
      <w:lvlJc w:val="left"/>
      <w:pPr>
        <w:tabs>
          <w:tab w:val="num" w:pos="360"/>
        </w:tabs>
      </w:pPr>
    </w:lvl>
    <w:lvl w:ilvl="2" w:tplc="41DABC88">
      <w:numFmt w:val="bullet"/>
      <w:lvlText w:val="•"/>
      <w:lvlJc w:val="left"/>
      <w:pPr>
        <w:ind w:left="3714" w:hanging="354"/>
      </w:pPr>
      <w:rPr>
        <w:rFonts w:hint="default"/>
        <w:lang w:val="ru-RU" w:eastAsia="ru-RU" w:bidi="ru-RU"/>
      </w:rPr>
    </w:lvl>
    <w:lvl w:ilvl="3" w:tplc="37BEFBC2">
      <w:numFmt w:val="bullet"/>
      <w:lvlText w:val="•"/>
      <w:lvlJc w:val="left"/>
      <w:pPr>
        <w:ind w:left="4731" w:hanging="354"/>
      </w:pPr>
      <w:rPr>
        <w:rFonts w:hint="default"/>
        <w:lang w:val="ru-RU" w:eastAsia="ru-RU" w:bidi="ru-RU"/>
      </w:rPr>
    </w:lvl>
    <w:lvl w:ilvl="4" w:tplc="051C7CB2">
      <w:numFmt w:val="bullet"/>
      <w:lvlText w:val="•"/>
      <w:lvlJc w:val="left"/>
      <w:pPr>
        <w:ind w:left="5748" w:hanging="354"/>
      </w:pPr>
      <w:rPr>
        <w:rFonts w:hint="default"/>
        <w:lang w:val="ru-RU" w:eastAsia="ru-RU" w:bidi="ru-RU"/>
      </w:rPr>
    </w:lvl>
    <w:lvl w:ilvl="5" w:tplc="5F2C8A34">
      <w:numFmt w:val="bullet"/>
      <w:lvlText w:val="•"/>
      <w:lvlJc w:val="left"/>
      <w:pPr>
        <w:ind w:left="6765" w:hanging="354"/>
      </w:pPr>
      <w:rPr>
        <w:rFonts w:hint="default"/>
        <w:lang w:val="ru-RU" w:eastAsia="ru-RU" w:bidi="ru-RU"/>
      </w:rPr>
    </w:lvl>
    <w:lvl w:ilvl="6" w:tplc="90185ACA">
      <w:numFmt w:val="bullet"/>
      <w:lvlText w:val="•"/>
      <w:lvlJc w:val="left"/>
      <w:pPr>
        <w:ind w:left="7782" w:hanging="354"/>
      </w:pPr>
      <w:rPr>
        <w:rFonts w:hint="default"/>
        <w:lang w:val="ru-RU" w:eastAsia="ru-RU" w:bidi="ru-RU"/>
      </w:rPr>
    </w:lvl>
    <w:lvl w:ilvl="7" w:tplc="8C8C4EE2">
      <w:numFmt w:val="bullet"/>
      <w:lvlText w:val="•"/>
      <w:lvlJc w:val="left"/>
      <w:pPr>
        <w:ind w:left="8799" w:hanging="354"/>
      </w:pPr>
      <w:rPr>
        <w:rFonts w:hint="default"/>
        <w:lang w:val="ru-RU" w:eastAsia="ru-RU" w:bidi="ru-RU"/>
      </w:rPr>
    </w:lvl>
    <w:lvl w:ilvl="8" w:tplc="8E2C9C1A">
      <w:numFmt w:val="bullet"/>
      <w:lvlText w:val="•"/>
      <w:lvlJc w:val="left"/>
      <w:pPr>
        <w:ind w:left="9816" w:hanging="354"/>
      </w:pPr>
      <w:rPr>
        <w:rFonts w:hint="default"/>
        <w:lang w:val="ru-RU" w:eastAsia="ru-RU" w:bidi="ru-RU"/>
      </w:rPr>
    </w:lvl>
  </w:abstractNum>
  <w:abstractNum w:abstractNumId="6" w15:restartNumberingAfterBreak="0">
    <w:nsid w:val="0F0D0C94"/>
    <w:multiLevelType w:val="hybridMultilevel"/>
    <w:tmpl w:val="9790D76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" w15:restartNumberingAfterBreak="0">
    <w:nsid w:val="122F4799"/>
    <w:multiLevelType w:val="hybridMultilevel"/>
    <w:tmpl w:val="43546412"/>
    <w:lvl w:ilvl="0" w:tplc="83AE444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261FA"/>
    <w:multiLevelType w:val="hybridMultilevel"/>
    <w:tmpl w:val="22FA4C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32187"/>
    <w:multiLevelType w:val="hybridMultilevel"/>
    <w:tmpl w:val="DC58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21DEB"/>
    <w:multiLevelType w:val="hybridMultilevel"/>
    <w:tmpl w:val="60D2D502"/>
    <w:lvl w:ilvl="0" w:tplc="65EA5B0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E5701"/>
    <w:multiLevelType w:val="hybridMultilevel"/>
    <w:tmpl w:val="35069D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5C3D"/>
    <w:multiLevelType w:val="hybridMultilevel"/>
    <w:tmpl w:val="AEE05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4769F4"/>
    <w:multiLevelType w:val="hybridMultilevel"/>
    <w:tmpl w:val="06A4FF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431F7"/>
    <w:multiLevelType w:val="hybridMultilevel"/>
    <w:tmpl w:val="FE3251D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817"/>
    <w:multiLevelType w:val="hybridMultilevel"/>
    <w:tmpl w:val="AC3CF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777B32"/>
    <w:multiLevelType w:val="hybridMultilevel"/>
    <w:tmpl w:val="13865C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9913D0"/>
    <w:multiLevelType w:val="hybridMultilevel"/>
    <w:tmpl w:val="00A65842"/>
    <w:lvl w:ilvl="0" w:tplc="4CB29BE4">
      <w:start w:val="1"/>
      <w:numFmt w:val="decimal"/>
      <w:lvlText w:val="%1."/>
      <w:lvlJc w:val="left"/>
      <w:pPr>
        <w:ind w:left="1976" w:hanging="300"/>
      </w:pPr>
      <w:rPr>
        <w:rFonts w:ascii="Times New Roman" w:eastAsia="Times New Roman" w:hAnsi="Times New Roman" w:cs="Times New Roman"/>
        <w:b w:val="0"/>
        <w:bCs/>
        <w:spacing w:val="0"/>
        <w:w w:val="101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02216"/>
    <w:multiLevelType w:val="hybridMultilevel"/>
    <w:tmpl w:val="BCB04D0C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308D495F"/>
    <w:multiLevelType w:val="hybridMultilevel"/>
    <w:tmpl w:val="CB0C3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33DC9"/>
    <w:multiLevelType w:val="hybridMultilevel"/>
    <w:tmpl w:val="11EE2F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3E5E6A"/>
    <w:multiLevelType w:val="hybridMultilevel"/>
    <w:tmpl w:val="0D5A88CC"/>
    <w:lvl w:ilvl="0" w:tplc="D020F5F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8643B"/>
    <w:multiLevelType w:val="multilevel"/>
    <w:tmpl w:val="35849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3A185B5E"/>
    <w:multiLevelType w:val="hybridMultilevel"/>
    <w:tmpl w:val="C636C30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3C147A0D"/>
    <w:multiLevelType w:val="hybridMultilevel"/>
    <w:tmpl w:val="E2E4EEFA"/>
    <w:lvl w:ilvl="0" w:tplc="BC5CC958">
      <w:start w:val="1"/>
      <w:numFmt w:val="decimal"/>
      <w:lvlText w:val="%1."/>
      <w:lvlJc w:val="left"/>
      <w:pPr>
        <w:ind w:left="8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3C665D5D"/>
    <w:multiLevelType w:val="hybridMultilevel"/>
    <w:tmpl w:val="093E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9566D"/>
    <w:multiLevelType w:val="hybridMultilevel"/>
    <w:tmpl w:val="97C6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6170F"/>
    <w:multiLevelType w:val="hybridMultilevel"/>
    <w:tmpl w:val="8ECA5492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8" w15:restartNumberingAfterBreak="0">
    <w:nsid w:val="4E9D27AE"/>
    <w:multiLevelType w:val="hybridMultilevel"/>
    <w:tmpl w:val="F97A65B4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9" w15:restartNumberingAfterBreak="0">
    <w:nsid w:val="5C7F2E74"/>
    <w:multiLevelType w:val="hybridMultilevel"/>
    <w:tmpl w:val="0F0472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2661C52"/>
    <w:multiLevelType w:val="hybridMultilevel"/>
    <w:tmpl w:val="3E0A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E1703"/>
    <w:multiLevelType w:val="multilevel"/>
    <w:tmpl w:val="251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6159BD"/>
    <w:multiLevelType w:val="hybridMultilevel"/>
    <w:tmpl w:val="9F78685A"/>
    <w:lvl w:ilvl="0" w:tplc="041D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83C66"/>
    <w:multiLevelType w:val="hybridMultilevel"/>
    <w:tmpl w:val="716A67F6"/>
    <w:lvl w:ilvl="0" w:tplc="E70A012E">
      <w:start w:val="3"/>
      <w:numFmt w:val="decimal"/>
      <w:lvlText w:val="%1."/>
      <w:lvlJc w:val="left"/>
      <w:pPr>
        <w:ind w:left="1976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C436D6AE">
      <w:numFmt w:val="none"/>
      <w:lvlText w:val=""/>
      <w:lvlJc w:val="left"/>
      <w:pPr>
        <w:tabs>
          <w:tab w:val="num" w:pos="360"/>
        </w:tabs>
      </w:pPr>
    </w:lvl>
    <w:lvl w:ilvl="2" w:tplc="8938922C">
      <w:numFmt w:val="bullet"/>
      <w:lvlText w:val="•"/>
      <w:lvlJc w:val="left"/>
      <w:pPr>
        <w:ind w:left="3076" w:hanging="691"/>
      </w:pPr>
      <w:rPr>
        <w:rFonts w:hint="default"/>
        <w:lang w:val="ru-RU" w:eastAsia="ru-RU" w:bidi="ru-RU"/>
      </w:rPr>
    </w:lvl>
    <w:lvl w:ilvl="3" w:tplc="11681A50">
      <w:numFmt w:val="bullet"/>
      <w:lvlText w:val="•"/>
      <w:lvlJc w:val="left"/>
      <w:pPr>
        <w:ind w:left="4173" w:hanging="691"/>
      </w:pPr>
      <w:rPr>
        <w:rFonts w:hint="default"/>
        <w:lang w:val="ru-RU" w:eastAsia="ru-RU" w:bidi="ru-RU"/>
      </w:rPr>
    </w:lvl>
    <w:lvl w:ilvl="4" w:tplc="E6FE3BCA">
      <w:numFmt w:val="bullet"/>
      <w:lvlText w:val="•"/>
      <w:lvlJc w:val="left"/>
      <w:pPr>
        <w:ind w:left="5270" w:hanging="691"/>
      </w:pPr>
      <w:rPr>
        <w:rFonts w:hint="default"/>
        <w:lang w:val="ru-RU" w:eastAsia="ru-RU" w:bidi="ru-RU"/>
      </w:rPr>
    </w:lvl>
    <w:lvl w:ilvl="5" w:tplc="0B169E38">
      <w:numFmt w:val="bullet"/>
      <w:lvlText w:val="•"/>
      <w:lvlJc w:val="left"/>
      <w:pPr>
        <w:ind w:left="6366" w:hanging="691"/>
      </w:pPr>
      <w:rPr>
        <w:rFonts w:hint="default"/>
        <w:lang w:val="ru-RU" w:eastAsia="ru-RU" w:bidi="ru-RU"/>
      </w:rPr>
    </w:lvl>
    <w:lvl w:ilvl="6" w:tplc="6A3E69FC">
      <w:numFmt w:val="bullet"/>
      <w:lvlText w:val="•"/>
      <w:lvlJc w:val="left"/>
      <w:pPr>
        <w:ind w:left="7463" w:hanging="691"/>
      </w:pPr>
      <w:rPr>
        <w:rFonts w:hint="default"/>
        <w:lang w:val="ru-RU" w:eastAsia="ru-RU" w:bidi="ru-RU"/>
      </w:rPr>
    </w:lvl>
    <w:lvl w:ilvl="7" w:tplc="4D60E01E">
      <w:numFmt w:val="bullet"/>
      <w:lvlText w:val="•"/>
      <w:lvlJc w:val="left"/>
      <w:pPr>
        <w:ind w:left="8560" w:hanging="691"/>
      </w:pPr>
      <w:rPr>
        <w:rFonts w:hint="default"/>
        <w:lang w:val="ru-RU" w:eastAsia="ru-RU" w:bidi="ru-RU"/>
      </w:rPr>
    </w:lvl>
    <w:lvl w:ilvl="8" w:tplc="6F4A03D6">
      <w:numFmt w:val="bullet"/>
      <w:lvlText w:val="•"/>
      <w:lvlJc w:val="left"/>
      <w:pPr>
        <w:ind w:left="9656" w:hanging="691"/>
      </w:pPr>
      <w:rPr>
        <w:rFonts w:hint="default"/>
        <w:lang w:val="ru-RU" w:eastAsia="ru-RU" w:bidi="ru-RU"/>
      </w:rPr>
    </w:lvl>
  </w:abstractNum>
  <w:abstractNum w:abstractNumId="34" w15:restartNumberingAfterBreak="0">
    <w:nsid w:val="6B4E6A17"/>
    <w:multiLevelType w:val="hybridMultilevel"/>
    <w:tmpl w:val="6950A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428AA"/>
    <w:multiLevelType w:val="hybridMultilevel"/>
    <w:tmpl w:val="229E61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1F0D12C">
      <w:start w:val="1"/>
      <w:numFmt w:val="decimal"/>
      <w:lvlText w:val="%2."/>
      <w:lvlJc w:val="left"/>
      <w:pPr>
        <w:ind w:left="2779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CE61079"/>
    <w:multiLevelType w:val="hybridMultilevel"/>
    <w:tmpl w:val="D49852AC"/>
    <w:lvl w:ilvl="0" w:tplc="1EB09640">
      <w:start w:val="1"/>
      <w:numFmt w:val="lowerLetter"/>
      <w:lvlText w:val="%1)"/>
      <w:lvlJc w:val="left"/>
      <w:pPr>
        <w:ind w:left="1179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7" w15:restartNumberingAfterBreak="0">
    <w:nsid w:val="75FB5F18"/>
    <w:multiLevelType w:val="hybridMultilevel"/>
    <w:tmpl w:val="BC7EE262"/>
    <w:lvl w:ilvl="0" w:tplc="7BBAEBB6">
      <w:start w:val="2"/>
      <w:numFmt w:val="decimal"/>
      <w:lvlText w:val="%1."/>
      <w:lvlJc w:val="left"/>
      <w:pPr>
        <w:ind w:left="1976" w:hanging="300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F90284CC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8DA455FA">
      <w:numFmt w:val="bullet"/>
      <w:lvlText w:val="•"/>
      <w:lvlJc w:val="left"/>
      <w:pPr>
        <w:ind w:left="3076" w:hanging="691"/>
      </w:pPr>
      <w:rPr>
        <w:rFonts w:hint="default"/>
        <w:lang w:val="ru-RU" w:eastAsia="ru-RU" w:bidi="ru-RU"/>
      </w:rPr>
    </w:lvl>
    <w:lvl w:ilvl="3" w:tplc="A8E6246C">
      <w:numFmt w:val="bullet"/>
      <w:lvlText w:val="•"/>
      <w:lvlJc w:val="left"/>
      <w:pPr>
        <w:ind w:left="4173" w:hanging="691"/>
      </w:pPr>
      <w:rPr>
        <w:rFonts w:hint="default"/>
        <w:lang w:val="ru-RU" w:eastAsia="ru-RU" w:bidi="ru-RU"/>
      </w:rPr>
    </w:lvl>
    <w:lvl w:ilvl="4" w:tplc="BD2AAAE2">
      <w:numFmt w:val="bullet"/>
      <w:lvlText w:val="•"/>
      <w:lvlJc w:val="left"/>
      <w:pPr>
        <w:ind w:left="5270" w:hanging="691"/>
      </w:pPr>
      <w:rPr>
        <w:rFonts w:hint="default"/>
        <w:lang w:val="ru-RU" w:eastAsia="ru-RU" w:bidi="ru-RU"/>
      </w:rPr>
    </w:lvl>
    <w:lvl w:ilvl="5" w:tplc="235285D6">
      <w:numFmt w:val="bullet"/>
      <w:lvlText w:val="•"/>
      <w:lvlJc w:val="left"/>
      <w:pPr>
        <w:ind w:left="6366" w:hanging="691"/>
      </w:pPr>
      <w:rPr>
        <w:rFonts w:hint="default"/>
        <w:lang w:val="ru-RU" w:eastAsia="ru-RU" w:bidi="ru-RU"/>
      </w:rPr>
    </w:lvl>
    <w:lvl w:ilvl="6" w:tplc="CBA2B1E8">
      <w:numFmt w:val="bullet"/>
      <w:lvlText w:val="•"/>
      <w:lvlJc w:val="left"/>
      <w:pPr>
        <w:ind w:left="7463" w:hanging="691"/>
      </w:pPr>
      <w:rPr>
        <w:rFonts w:hint="default"/>
        <w:lang w:val="ru-RU" w:eastAsia="ru-RU" w:bidi="ru-RU"/>
      </w:rPr>
    </w:lvl>
    <w:lvl w:ilvl="7" w:tplc="9EBE8D96">
      <w:numFmt w:val="bullet"/>
      <w:lvlText w:val="•"/>
      <w:lvlJc w:val="left"/>
      <w:pPr>
        <w:ind w:left="8560" w:hanging="691"/>
      </w:pPr>
      <w:rPr>
        <w:rFonts w:hint="default"/>
        <w:lang w:val="ru-RU" w:eastAsia="ru-RU" w:bidi="ru-RU"/>
      </w:rPr>
    </w:lvl>
    <w:lvl w:ilvl="8" w:tplc="58B46062">
      <w:numFmt w:val="bullet"/>
      <w:lvlText w:val="•"/>
      <w:lvlJc w:val="left"/>
      <w:pPr>
        <w:ind w:left="9656" w:hanging="691"/>
      </w:pPr>
      <w:rPr>
        <w:rFonts w:hint="default"/>
        <w:lang w:val="ru-RU" w:eastAsia="ru-RU" w:bidi="ru-RU"/>
      </w:rPr>
    </w:lvl>
  </w:abstractNum>
  <w:abstractNum w:abstractNumId="38" w15:restartNumberingAfterBreak="0">
    <w:nsid w:val="7B7B60A4"/>
    <w:multiLevelType w:val="hybridMultilevel"/>
    <w:tmpl w:val="8A901D36"/>
    <w:lvl w:ilvl="0" w:tplc="8DB61924">
      <w:start w:val="1"/>
      <w:numFmt w:val="decimal"/>
      <w:lvlText w:val="%1."/>
      <w:lvlJc w:val="left"/>
      <w:pPr>
        <w:ind w:left="6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9" w15:restartNumberingAfterBreak="0">
    <w:nsid w:val="7D1862AD"/>
    <w:multiLevelType w:val="hybridMultilevel"/>
    <w:tmpl w:val="86E8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26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2"/>
  </w:num>
  <w:num w:numId="8">
    <w:abstractNumId w:val="34"/>
  </w:num>
  <w:num w:numId="9">
    <w:abstractNumId w:val="28"/>
  </w:num>
  <w:num w:numId="10">
    <w:abstractNumId w:val="3"/>
  </w:num>
  <w:num w:numId="11">
    <w:abstractNumId w:val="9"/>
  </w:num>
  <w:num w:numId="12">
    <w:abstractNumId w:val="4"/>
  </w:num>
  <w:num w:numId="13">
    <w:abstractNumId w:val="16"/>
  </w:num>
  <w:num w:numId="14">
    <w:abstractNumId w:val="39"/>
  </w:num>
  <w:num w:numId="15">
    <w:abstractNumId w:val="15"/>
  </w:num>
  <w:num w:numId="16">
    <w:abstractNumId w:val="18"/>
  </w:num>
  <w:num w:numId="17">
    <w:abstractNumId w:val="24"/>
  </w:num>
  <w:num w:numId="18">
    <w:abstractNumId w:val="38"/>
  </w:num>
  <w:num w:numId="19">
    <w:abstractNumId w:val="23"/>
  </w:num>
  <w:num w:numId="20">
    <w:abstractNumId w:val="25"/>
  </w:num>
  <w:num w:numId="21">
    <w:abstractNumId w:val="19"/>
  </w:num>
  <w:num w:numId="22">
    <w:abstractNumId w:val="10"/>
  </w:num>
  <w:num w:numId="23">
    <w:abstractNumId w:val="31"/>
  </w:num>
  <w:num w:numId="24">
    <w:abstractNumId w:val="1"/>
  </w:num>
  <w:num w:numId="25">
    <w:abstractNumId w:val="11"/>
  </w:num>
  <w:num w:numId="26">
    <w:abstractNumId w:val="27"/>
  </w:num>
  <w:num w:numId="27">
    <w:abstractNumId w:val="36"/>
  </w:num>
  <w:num w:numId="28">
    <w:abstractNumId w:val="6"/>
  </w:num>
  <w:num w:numId="29">
    <w:abstractNumId w:val="37"/>
  </w:num>
  <w:num w:numId="30">
    <w:abstractNumId w:val="17"/>
  </w:num>
  <w:num w:numId="31">
    <w:abstractNumId w:val="5"/>
  </w:num>
  <w:num w:numId="32">
    <w:abstractNumId w:val="33"/>
  </w:num>
  <w:num w:numId="33">
    <w:abstractNumId w:val="22"/>
  </w:num>
  <w:num w:numId="34">
    <w:abstractNumId w:val="35"/>
  </w:num>
  <w:num w:numId="35">
    <w:abstractNumId w:val="12"/>
  </w:num>
  <w:num w:numId="36">
    <w:abstractNumId w:val="29"/>
  </w:num>
  <w:num w:numId="37">
    <w:abstractNumId w:val="7"/>
  </w:num>
  <w:num w:numId="38">
    <w:abstractNumId w:val="21"/>
  </w:num>
  <w:num w:numId="39">
    <w:abstractNumId w:val="0"/>
  </w:num>
  <w:num w:numId="40">
    <w:abstractNumId w:val="13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64E9"/>
    <w:rsid w:val="00000362"/>
    <w:rsid w:val="00000FEA"/>
    <w:rsid w:val="000101F6"/>
    <w:rsid w:val="000155FA"/>
    <w:rsid w:val="000205C3"/>
    <w:rsid w:val="0003081A"/>
    <w:rsid w:val="0004743D"/>
    <w:rsid w:val="0005223F"/>
    <w:rsid w:val="00080281"/>
    <w:rsid w:val="000837EC"/>
    <w:rsid w:val="00090C25"/>
    <w:rsid w:val="000B3FA7"/>
    <w:rsid w:val="000D3B6A"/>
    <w:rsid w:val="000E18D0"/>
    <w:rsid w:val="000F25BD"/>
    <w:rsid w:val="00116A19"/>
    <w:rsid w:val="00134544"/>
    <w:rsid w:val="0013532F"/>
    <w:rsid w:val="0014277B"/>
    <w:rsid w:val="001513F9"/>
    <w:rsid w:val="00153C62"/>
    <w:rsid w:val="0017634B"/>
    <w:rsid w:val="001A35F1"/>
    <w:rsid w:val="001E711B"/>
    <w:rsid w:val="001E7EE1"/>
    <w:rsid w:val="00213903"/>
    <w:rsid w:val="00213BCF"/>
    <w:rsid w:val="002142C1"/>
    <w:rsid w:val="00220CE6"/>
    <w:rsid w:val="00223893"/>
    <w:rsid w:val="002334BD"/>
    <w:rsid w:val="002411C8"/>
    <w:rsid w:val="00246CCB"/>
    <w:rsid w:val="0027066B"/>
    <w:rsid w:val="00274DEF"/>
    <w:rsid w:val="00295D4B"/>
    <w:rsid w:val="002C1AEC"/>
    <w:rsid w:val="002C3ABA"/>
    <w:rsid w:val="002D7C42"/>
    <w:rsid w:val="00313E46"/>
    <w:rsid w:val="003158AD"/>
    <w:rsid w:val="00323F1F"/>
    <w:rsid w:val="003271C6"/>
    <w:rsid w:val="00332A86"/>
    <w:rsid w:val="00376D81"/>
    <w:rsid w:val="003917D3"/>
    <w:rsid w:val="003A1515"/>
    <w:rsid w:val="003A18B9"/>
    <w:rsid w:val="003B12A7"/>
    <w:rsid w:val="003C07C2"/>
    <w:rsid w:val="003C30F0"/>
    <w:rsid w:val="003C603F"/>
    <w:rsid w:val="003E4641"/>
    <w:rsid w:val="003E7B09"/>
    <w:rsid w:val="003F1C1A"/>
    <w:rsid w:val="003F5E35"/>
    <w:rsid w:val="0040665F"/>
    <w:rsid w:val="00414D52"/>
    <w:rsid w:val="00415E06"/>
    <w:rsid w:val="004175C0"/>
    <w:rsid w:val="00434B6D"/>
    <w:rsid w:val="00442122"/>
    <w:rsid w:val="00474C23"/>
    <w:rsid w:val="004A63ED"/>
    <w:rsid w:val="004B3F25"/>
    <w:rsid w:val="004C7E6D"/>
    <w:rsid w:val="005138F2"/>
    <w:rsid w:val="005214C4"/>
    <w:rsid w:val="005229DF"/>
    <w:rsid w:val="00533EEB"/>
    <w:rsid w:val="00537F1D"/>
    <w:rsid w:val="00560973"/>
    <w:rsid w:val="00571595"/>
    <w:rsid w:val="00577163"/>
    <w:rsid w:val="00581455"/>
    <w:rsid w:val="005C687D"/>
    <w:rsid w:val="005D2B82"/>
    <w:rsid w:val="005D58E8"/>
    <w:rsid w:val="005E2817"/>
    <w:rsid w:val="0061420C"/>
    <w:rsid w:val="00616154"/>
    <w:rsid w:val="00626155"/>
    <w:rsid w:val="00644270"/>
    <w:rsid w:val="006543EB"/>
    <w:rsid w:val="00672835"/>
    <w:rsid w:val="00682F41"/>
    <w:rsid w:val="006845DF"/>
    <w:rsid w:val="00686848"/>
    <w:rsid w:val="0068701B"/>
    <w:rsid w:val="006C0EDB"/>
    <w:rsid w:val="006D498F"/>
    <w:rsid w:val="006F0989"/>
    <w:rsid w:val="0071515D"/>
    <w:rsid w:val="00733362"/>
    <w:rsid w:val="007552B1"/>
    <w:rsid w:val="007649DE"/>
    <w:rsid w:val="00765435"/>
    <w:rsid w:val="007D0FD0"/>
    <w:rsid w:val="007D1932"/>
    <w:rsid w:val="007F12F2"/>
    <w:rsid w:val="007F3589"/>
    <w:rsid w:val="007F64D3"/>
    <w:rsid w:val="00810A50"/>
    <w:rsid w:val="00815A6A"/>
    <w:rsid w:val="0083254E"/>
    <w:rsid w:val="00837D69"/>
    <w:rsid w:val="008468C3"/>
    <w:rsid w:val="00880904"/>
    <w:rsid w:val="0089245E"/>
    <w:rsid w:val="008A3001"/>
    <w:rsid w:val="008A7825"/>
    <w:rsid w:val="008B24EE"/>
    <w:rsid w:val="008C7D42"/>
    <w:rsid w:val="00900674"/>
    <w:rsid w:val="00925C0C"/>
    <w:rsid w:val="00947350"/>
    <w:rsid w:val="00954918"/>
    <w:rsid w:val="00965120"/>
    <w:rsid w:val="00973634"/>
    <w:rsid w:val="0099255B"/>
    <w:rsid w:val="009A1DC2"/>
    <w:rsid w:val="009B64A0"/>
    <w:rsid w:val="009B79A4"/>
    <w:rsid w:val="009C2382"/>
    <w:rsid w:val="009C7E83"/>
    <w:rsid w:val="009D4FEA"/>
    <w:rsid w:val="009F285F"/>
    <w:rsid w:val="00A31E30"/>
    <w:rsid w:val="00A364E9"/>
    <w:rsid w:val="00A458D1"/>
    <w:rsid w:val="00A45FE2"/>
    <w:rsid w:val="00A47A13"/>
    <w:rsid w:val="00A52370"/>
    <w:rsid w:val="00A55FFB"/>
    <w:rsid w:val="00A61A13"/>
    <w:rsid w:val="00A80C54"/>
    <w:rsid w:val="00AB5D0B"/>
    <w:rsid w:val="00AB68A0"/>
    <w:rsid w:val="00AC02C5"/>
    <w:rsid w:val="00AE16D2"/>
    <w:rsid w:val="00B0009A"/>
    <w:rsid w:val="00B00BAB"/>
    <w:rsid w:val="00B03FFC"/>
    <w:rsid w:val="00B33FA9"/>
    <w:rsid w:val="00B373C6"/>
    <w:rsid w:val="00B42335"/>
    <w:rsid w:val="00B45ECB"/>
    <w:rsid w:val="00B470F7"/>
    <w:rsid w:val="00B50C4E"/>
    <w:rsid w:val="00B52DC2"/>
    <w:rsid w:val="00B8329F"/>
    <w:rsid w:val="00BA173B"/>
    <w:rsid w:val="00BA2C86"/>
    <w:rsid w:val="00BB6187"/>
    <w:rsid w:val="00BD3D23"/>
    <w:rsid w:val="00BE72CE"/>
    <w:rsid w:val="00C5661F"/>
    <w:rsid w:val="00C63346"/>
    <w:rsid w:val="00C67793"/>
    <w:rsid w:val="00C70653"/>
    <w:rsid w:val="00C73707"/>
    <w:rsid w:val="00C73D61"/>
    <w:rsid w:val="00C85509"/>
    <w:rsid w:val="00C87FE9"/>
    <w:rsid w:val="00C950CF"/>
    <w:rsid w:val="00C95A33"/>
    <w:rsid w:val="00CA4968"/>
    <w:rsid w:val="00CA5533"/>
    <w:rsid w:val="00CB0869"/>
    <w:rsid w:val="00CC7388"/>
    <w:rsid w:val="00CF0003"/>
    <w:rsid w:val="00D06E83"/>
    <w:rsid w:val="00D0759A"/>
    <w:rsid w:val="00D5084E"/>
    <w:rsid w:val="00D57533"/>
    <w:rsid w:val="00D655F1"/>
    <w:rsid w:val="00D706E3"/>
    <w:rsid w:val="00D83265"/>
    <w:rsid w:val="00DA2FD1"/>
    <w:rsid w:val="00DB4ADC"/>
    <w:rsid w:val="00DC4B91"/>
    <w:rsid w:val="00DE3917"/>
    <w:rsid w:val="00DF33E9"/>
    <w:rsid w:val="00E4217E"/>
    <w:rsid w:val="00E449F9"/>
    <w:rsid w:val="00E6786D"/>
    <w:rsid w:val="00E70E89"/>
    <w:rsid w:val="00E75314"/>
    <w:rsid w:val="00E93936"/>
    <w:rsid w:val="00EA0570"/>
    <w:rsid w:val="00EA20DE"/>
    <w:rsid w:val="00EB3BC1"/>
    <w:rsid w:val="00EB6928"/>
    <w:rsid w:val="00ED2AE6"/>
    <w:rsid w:val="00EE1E84"/>
    <w:rsid w:val="00EE49D4"/>
    <w:rsid w:val="00EE5798"/>
    <w:rsid w:val="00EF4243"/>
    <w:rsid w:val="00EF7E2F"/>
    <w:rsid w:val="00F106D5"/>
    <w:rsid w:val="00F12BA3"/>
    <w:rsid w:val="00F22088"/>
    <w:rsid w:val="00F32AA9"/>
    <w:rsid w:val="00F40DCF"/>
    <w:rsid w:val="00F50C83"/>
    <w:rsid w:val="00F513D3"/>
    <w:rsid w:val="00F65158"/>
    <w:rsid w:val="00F8325C"/>
    <w:rsid w:val="00F85347"/>
    <w:rsid w:val="00F96295"/>
    <w:rsid w:val="00F97825"/>
    <w:rsid w:val="00FA67DF"/>
    <w:rsid w:val="00FB7372"/>
    <w:rsid w:val="00FC0F8C"/>
    <w:rsid w:val="00FD25C8"/>
    <w:rsid w:val="00FE20D3"/>
    <w:rsid w:val="00FF1793"/>
    <w:rsid w:val="00FF4D00"/>
    <w:rsid w:val="00F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891DE0-6C7A-408F-87B2-A52BCA35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1">
    <w:name w:val="heading 1"/>
    <w:basedOn w:val="a"/>
    <w:link w:val="10"/>
    <w:uiPriority w:val="9"/>
    <w:qFormat/>
    <w:rsid w:val="008A7825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64E9"/>
  </w:style>
  <w:style w:type="paragraph" w:styleId="a5">
    <w:name w:val="footer"/>
    <w:basedOn w:val="a"/>
    <w:link w:val="a6"/>
    <w:uiPriority w:val="99"/>
    <w:unhideWhenUsed/>
    <w:rsid w:val="00A36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64E9"/>
  </w:style>
  <w:style w:type="paragraph" w:styleId="a7">
    <w:name w:val="Balloon Text"/>
    <w:basedOn w:val="a"/>
    <w:link w:val="a8"/>
    <w:uiPriority w:val="99"/>
    <w:semiHidden/>
    <w:unhideWhenUsed/>
    <w:rsid w:val="00A364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64E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6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1"/>
    <w:qFormat/>
    <w:rsid w:val="00313E46"/>
    <w:pPr>
      <w:ind w:left="720"/>
      <w:contextualSpacing/>
    </w:pPr>
  </w:style>
  <w:style w:type="character" w:styleId="ac">
    <w:name w:val="Strong"/>
    <w:basedOn w:val="a0"/>
    <w:uiPriority w:val="22"/>
    <w:qFormat/>
    <w:rsid w:val="0003081A"/>
    <w:rPr>
      <w:b/>
      <w:bCs/>
    </w:rPr>
  </w:style>
  <w:style w:type="character" w:styleId="ad">
    <w:name w:val="Hyperlink"/>
    <w:basedOn w:val="a0"/>
    <w:uiPriority w:val="99"/>
    <w:unhideWhenUsed/>
    <w:rsid w:val="0003081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7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um">
    <w:name w:val="num"/>
    <w:basedOn w:val="a0"/>
    <w:rsid w:val="008A7825"/>
  </w:style>
  <w:style w:type="character" w:customStyle="1" w:styleId="apple-converted-space">
    <w:name w:val="apple-converted-space"/>
    <w:basedOn w:val="a0"/>
    <w:rsid w:val="003F1C1A"/>
  </w:style>
  <w:style w:type="paragraph" w:styleId="ae">
    <w:name w:val="No Spacing"/>
    <w:uiPriority w:val="1"/>
    <w:qFormat/>
    <w:rsid w:val="009B64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efault">
    <w:name w:val="Default"/>
    <w:rsid w:val="009736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1"/>
    <w:locked/>
    <w:rsid w:val="00973634"/>
    <w:rPr>
      <w:rFonts w:ascii="Times New Roman" w:eastAsia="Times New Roman" w:hAnsi="Times New Roman" w:cs="Times New Roman"/>
      <w:sz w:val="24"/>
      <w:szCs w:val="20"/>
      <w:lang w:eastAsia="en-GB"/>
    </w:rPr>
  </w:style>
  <w:style w:type="table" w:customStyle="1" w:styleId="11">
    <w:name w:val="Сетка таблицы1"/>
    <w:basedOn w:val="a1"/>
    <w:uiPriority w:val="59"/>
    <w:rsid w:val="00F651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C7F531-D090-4FBE-B22F-A710E246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Старшая медсестра</cp:lastModifiedBy>
  <cp:revision>5</cp:revision>
  <cp:lastPrinted>2017-10-02T09:22:00Z</cp:lastPrinted>
  <dcterms:created xsi:type="dcterms:W3CDTF">2019-09-19T10:21:00Z</dcterms:created>
  <dcterms:modified xsi:type="dcterms:W3CDTF">2019-10-03T09:11:00Z</dcterms:modified>
</cp:coreProperties>
</file>